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F208D" w14:textId="291E9DB0" w:rsidR="00A64FA2" w:rsidRDefault="59FE6E27">
      <w:pPr>
        <w:spacing w:after="0"/>
        <w:jc w:val="center"/>
        <w:rPr>
          <w:rFonts w:cs="Calibri"/>
          <w:b/>
          <w:bCs/>
          <w:sz w:val="24"/>
          <w:szCs w:val="24"/>
        </w:rPr>
      </w:pPr>
      <w:r w:rsidRPr="672F9676">
        <w:rPr>
          <w:rFonts w:cs="Calibri"/>
          <w:b/>
          <w:bCs/>
          <w:sz w:val="24"/>
          <w:szCs w:val="24"/>
        </w:rPr>
        <w:t xml:space="preserve"> FAQ APR TEES- phase 1 dépôt de </w:t>
      </w:r>
      <w:r w:rsidR="213A2ACA" w:rsidRPr="672F9676">
        <w:rPr>
          <w:rFonts w:cs="Calibri"/>
          <w:b/>
          <w:bCs/>
          <w:sz w:val="24"/>
          <w:szCs w:val="24"/>
        </w:rPr>
        <w:t>préprojet</w:t>
      </w:r>
    </w:p>
    <w:p w14:paraId="256F208E" w14:textId="61A284CF" w:rsidR="00A64FA2" w:rsidRDefault="00B34CF1" w:rsidP="5E179DBD">
      <w:pPr>
        <w:spacing w:after="0"/>
        <w:jc w:val="center"/>
        <w:rPr>
          <w:rFonts w:cs="Calibri"/>
          <w:b/>
          <w:bCs/>
          <w:i/>
          <w:iCs/>
          <w:sz w:val="24"/>
          <w:szCs w:val="24"/>
        </w:rPr>
      </w:pPr>
      <w:r>
        <w:rPr>
          <w:rFonts w:cs="Calibri"/>
          <w:b/>
          <w:bCs/>
          <w:i/>
          <w:iCs/>
          <w:sz w:val="24"/>
          <w:szCs w:val="24"/>
        </w:rPr>
        <w:t>16</w:t>
      </w:r>
      <w:r w:rsidR="59FE6E27" w:rsidRPr="5E179DBD">
        <w:rPr>
          <w:rFonts w:cs="Calibri"/>
          <w:b/>
          <w:bCs/>
          <w:i/>
          <w:iCs/>
          <w:sz w:val="24"/>
          <w:szCs w:val="24"/>
        </w:rPr>
        <w:t xml:space="preserve"> </w:t>
      </w:r>
      <w:r w:rsidR="10D6B8E9" w:rsidRPr="5E179DBD">
        <w:rPr>
          <w:rFonts w:cs="Calibri"/>
          <w:b/>
          <w:bCs/>
          <w:i/>
          <w:iCs/>
          <w:sz w:val="24"/>
          <w:szCs w:val="24"/>
        </w:rPr>
        <w:t>février</w:t>
      </w:r>
      <w:r w:rsidR="59FE6E27" w:rsidRPr="5E179DBD">
        <w:rPr>
          <w:rFonts w:cs="Calibri"/>
          <w:b/>
          <w:bCs/>
          <w:i/>
          <w:iCs/>
          <w:sz w:val="24"/>
          <w:szCs w:val="24"/>
        </w:rPr>
        <w:t xml:space="preserve"> 2024</w:t>
      </w:r>
    </w:p>
    <w:p w14:paraId="256F208F" w14:textId="73092030" w:rsidR="00A64FA2" w:rsidRDefault="00A64FA2" w:rsidP="5E179DBD">
      <w:pPr>
        <w:pStyle w:val="Commentaire"/>
        <w:spacing w:after="0"/>
      </w:pPr>
    </w:p>
    <w:p w14:paraId="256F2090" w14:textId="77777777" w:rsidR="00A64FA2" w:rsidRDefault="00A64FA2">
      <w:pPr>
        <w:spacing w:after="0"/>
        <w:jc w:val="both"/>
        <w:rPr>
          <w:rFonts w:cs="Calibri"/>
          <w:sz w:val="20"/>
          <w:szCs w:val="20"/>
        </w:rPr>
      </w:pPr>
    </w:p>
    <w:tbl>
      <w:tblPr>
        <w:tblW w:w="15310" w:type="dxa"/>
        <w:tblInd w:w="-714" w:type="dxa"/>
        <w:tblLayout w:type="fixed"/>
        <w:tblCellMar>
          <w:left w:w="10" w:type="dxa"/>
          <w:right w:w="10" w:type="dxa"/>
        </w:tblCellMar>
        <w:tblLook w:val="04E0" w:firstRow="1" w:lastRow="1" w:firstColumn="1" w:lastColumn="0" w:noHBand="0" w:noVBand="1"/>
      </w:tblPr>
      <w:tblGrid>
        <w:gridCol w:w="1418"/>
        <w:gridCol w:w="4250"/>
        <w:gridCol w:w="9642"/>
      </w:tblGrid>
      <w:tr w:rsidR="00A64FA2" w14:paraId="256F2094" w14:textId="77777777" w:rsidTr="00E61E41">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108" w:type="dxa"/>
              <w:bottom w:w="0" w:type="dxa"/>
              <w:right w:w="108" w:type="dxa"/>
            </w:tcMar>
            <w:vAlign w:val="center"/>
          </w:tcPr>
          <w:p w14:paraId="256F2091" w14:textId="73092030" w:rsidR="00A64FA2" w:rsidRDefault="00B06B42" w:rsidP="5E179DBD">
            <w:pPr>
              <w:pStyle w:val="Commentaire"/>
              <w:spacing w:after="0"/>
            </w:pPr>
            <w:r w:rsidRPr="5E179DBD">
              <w:rPr>
                <w:rFonts w:cs="Calibri"/>
                <w:b/>
                <w:bCs/>
                <w:sz w:val="24"/>
                <w:szCs w:val="24"/>
              </w:rPr>
              <w:t>Thème</w:t>
            </w:r>
          </w:p>
        </w:tc>
        <w:tc>
          <w:tcPr>
            <w:tcW w:w="425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108" w:type="dxa"/>
              <w:bottom w:w="0" w:type="dxa"/>
              <w:right w:w="108" w:type="dxa"/>
            </w:tcMar>
            <w:vAlign w:val="center"/>
          </w:tcPr>
          <w:p w14:paraId="256F2092" w14:textId="73092030" w:rsidR="00A64FA2" w:rsidRDefault="00B06B42" w:rsidP="5E179DBD">
            <w:pPr>
              <w:pStyle w:val="Commentaire"/>
              <w:spacing w:after="0"/>
            </w:pPr>
            <w:r w:rsidRPr="5E179DBD">
              <w:rPr>
                <w:rFonts w:cs="Calibri"/>
                <w:b/>
                <w:bCs/>
                <w:sz w:val="24"/>
                <w:szCs w:val="24"/>
              </w:rPr>
              <w:t>Question</w:t>
            </w:r>
          </w:p>
        </w:tc>
        <w:tc>
          <w:tcPr>
            <w:tcW w:w="964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C5E0B3" w:themeFill="accent6" w:themeFillTint="66"/>
            <w:tcMar>
              <w:top w:w="0" w:type="dxa"/>
              <w:left w:w="108" w:type="dxa"/>
              <w:bottom w:w="0" w:type="dxa"/>
              <w:right w:w="108" w:type="dxa"/>
            </w:tcMar>
            <w:vAlign w:val="center"/>
          </w:tcPr>
          <w:p w14:paraId="256F2093" w14:textId="73092030" w:rsidR="00A64FA2" w:rsidRDefault="00B06B42" w:rsidP="5E179DBD">
            <w:pPr>
              <w:pStyle w:val="Commentaire"/>
              <w:spacing w:after="0"/>
            </w:pPr>
            <w:r w:rsidRPr="5E179DBD">
              <w:rPr>
                <w:rFonts w:cs="Calibri"/>
                <w:b/>
                <w:bCs/>
                <w:sz w:val="24"/>
                <w:szCs w:val="24"/>
              </w:rPr>
              <w:t>Réponse</w:t>
            </w:r>
          </w:p>
        </w:tc>
      </w:tr>
      <w:tr w:rsidR="00A64FA2" w14:paraId="256F2099" w14:textId="77777777" w:rsidTr="00E61E41">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94CFC2" w14:textId="13F2F3DC" w:rsidR="00B34CF1" w:rsidRDefault="00B06B42" w:rsidP="00B34CF1">
            <w:pPr>
              <w:pStyle w:val="Commentaire"/>
              <w:spacing w:after="0"/>
              <w:jc w:val="center"/>
              <w:rPr>
                <w:rFonts w:cs="Calibri"/>
                <w:b/>
                <w:bCs/>
                <w:kern w:val="3"/>
                <w:sz w:val="22"/>
                <w:szCs w:val="22"/>
              </w:rPr>
            </w:pPr>
            <w:r w:rsidRPr="002036DB">
              <w:rPr>
                <w:rFonts w:cs="Calibri"/>
                <w:b/>
                <w:bCs/>
                <w:kern w:val="3"/>
                <w:sz w:val="22"/>
                <w:szCs w:val="22"/>
              </w:rPr>
              <w:t>Dépôt</w:t>
            </w:r>
          </w:p>
          <w:p w14:paraId="256F2095" w14:textId="78CAF137" w:rsidR="00A64FA2" w:rsidRPr="002036DB" w:rsidRDefault="00B06B42" w:rsidP="00B34CF1">
            <w:pPr>
              <w:pStyle w:val="Commentaire"/>
              <w:spacing w:after="0"/>
              <w:jc w:val="center"/>
            </w:pPr>
            <w:proofErr w:type="gramStart"/>
            <w:r w:rsidRPr="002036DB">
              <w:rPr>
                <w:rFonts w:cs="Calibri"/>
                <w:b/>
                <w:bCs/>
                <w:kern w:val="3"/>
                <w:sz w:val="22"/>
                <w:szCs w:val="22"/>
              </w:rPr>
              <w:t>de</w:t>
            </w:r>
            <w:proofErr w:type="gramEnd"/>
            <w:r w:rsidRPr="002036DB">
              <w:rPr>
                <w:rFonts w:cs="Calibri"/>
                <w:b/>
                <w:bCs/>
                <w:kern w:val="3"/>
                <w:sz w:val="22"/>
                <w:szCs w:val="22"/>
              </w:rPr>
              <w:t xml:space="preserve"> préprojet (phase 1)</w:t>
            </w:r>
          </w:p>
        </w:tc>
        <w:tc>
          <w:tcPr>
            <w:tcW w:w="4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6F2096" w14:textId="73092030" w:rsidR="00A64FA2" w:rsidRPr="00B34CF1" w:rsidRDefault="59FE6E27" w:rsidP="5E179DBD">
            <w:pPr>
              <w:pStyle w:val="Commentaire"/>
              <w:spacing w:after="0" w:line="259" w:lineRule="auto"/>
            </w:pPr>
            <w:r w:rsidRPr="00B34CF1">
              <w:rPr>
                <w:rFonts w:cs="Calibri"/>
              </w:rPr>
              <w:t>Faut-</w:t>
            </w:r>
            <w:r w:rsidRPr="00B34CF1">
              <w:rPr>
                <w:rFonts w:cs="Calibri"/>
                <w:kern w:val="3"/>
                <w:sz w:val="22"/>
                <w:szCs w:val="22"/>
              </w:rPr>
              <w:t>il détailler le budget du projet ?</w:t>
            </w:r>
            <w:r w:rsidRPr="00B34CF1">
              <w:rPr>
                <w:rFonts w:cs="Calibri"/>
              </w:rPr>
              <w:t xml:space="preserve"> </w:t>
            </w:r>
          </w:p>
        </w:tc>
        <w:tc>
          <w:tcPr>
            <w:tcW w:w="964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097" w14:textId="73092030" w:rsidR="00A64FA2" w:rsidRPr="00B34CF1" w:rsidRDefault="00B06B42">
            <w:pPr>
              <w:spacing w:after="0"/>
              <w:rPr>
                <w:rFonts w:cs="Calibri"/>
              </w:rPr>
            </w:pPr>
            <w:r w:rsidRPr="00B34CF1">
              <w:rPr>
                <w:rFonts w:cs="Calibri"/>
              </w:rPr>
              <w:t xml:space="preserve">A ce stade de pré-sélection, l’objectif est de proposer une intention de projet scientifique, et d’éviter aux porteurs de projet de constituer des dossiers volumineux. Il vous faut uniquement détailler un cout global du projet et un montant d’aide souhaité. </w:t>
            </w:r>
          </w:p>
          <w:p w14:paraId="256F2098" w14:textId="73092030" w:rsidR="00A64FA2" w:rsidRPr="00B34CF1" w:rsidRDefault="00B06B42">
            <w:pPr>
              <w:spacing w:after="0"/>
              <w:rPr>
                <w:rFonts w:cs="Calibri"/>
              </w:rPr>
            </w:pPr>
            <w:r w:rsidRPr="00B34CF1">
              <w:rPr>
                <w:rFonts w:cs="Calibri"/>
              </w:rPr>
              <w:t xml:space="preserve">De plus amples détails (annexe budgétaire, décrivant la répartition des couts par partenaires) seront demandés lors de la phase 2, </w:t>
            </w:r>
            <w:proofErr w:type="gramStart"/>
            <w:r w:rsidRPr="00B34CF1">
              <w:rPr>
                <w:rFonts w:cs="Calibri"/>
              </w:rPr>
              <w:t>suite à</w:t>
            </w:r>
            <w:proofErr w:type="gramEnd"/>
            <w:r w:rsidRPr="00B34CF1">
              <w:rPr>
                <w:rFonts w:cs="Calibri"/>
              </w:rPr>
              <w:t xml:space="preserve"> la pré-sélection. </w:t>
            </w:r>
          </w:p>
        </w:tc>
      </w:tr>
      <w:tr w:rsidR="00A64FA2" w14:paraId="256F209E" w14:textId="77777777" w:rsidTr="00E61E41">
        <w:trPr>
          <w:trHeight w:val="300"/>
        </w:trPr>
        <w:tc>
          <w:tcPr>
            <w:tcW w:w="141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F209A" w14:textId="77777777" w:rsidR="00A64FA2" w:rsidRPr="002036DB" w:rsidRDefault="00A64FA2">
            <w:pPr>
              <w:spacing w:after="0"/>
              <w:rPr>
                <w:rFonts w:cs="Calibri"/>
              </w:rPr>
            </w:pPr>
          </w:p>
        </w:tc>
        <w:tc>
          <w:tcPr>
            <w:tcW w:w="4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6F209B" w14:textId="77777777" w:rsidR="00A64FA2" w:rsidRPr="00B34CF1" w:rsidRDefault="59FE6E27" w:rsidP="672F9676">
            <w:pPr>
              <w:spacing w:after="0" w:line="259" w:lineRule="auto"/>
              <w:jc w:val="center"/>
              <w:rPr>
                <w:rFonts w:cs="Calibri"/>
              </w:rPr>
            </w:pPr>
            <w:r w:rsidRPr="00B34CF1">
              <w:rPr>
                <w:rFonts w:cs="Calibri"/>
              </w:rPr>
              <w:t xml:space="preserve">Faut-il détailler la composition du consortium ? </w:t>
            </w:r>
          </w:p>
        </w:tc>
        <w:tc>
          <w:tcPr>
            <w:tcW w:w="964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09C" w14:textId="77777777" w:rsidR="00A64FA2" w:rsidRPr="00B34CF1" w:rsidRDefault="00B06B42">
            <w:pPr>
              <w:spacing w:after="0"/>
              <w:rPr>
                <w:rFonts w:cs="Calibri"/>
              </w:rPr>
            </w:pPr>
            <w:r w:rsidRPr="00B34CF1">
              <w:rPr>
                <w:rFonts w:cs="Calibri"/>
              </w:rPr>
              <w:t xml:space="preserve">A ce stade de pré-sélection, il vous est demandé de préciser les acteurs du partenariat au sein du document « modèle de pré projet » que vous compléterez pour soumettre vos dossiers. </w:t>
            </w:r>
          </w:p>
          <w:p w14:paraId="256F209D" w14:textId="77777777" w:rsidR="00A64FA2" w:rsidRPr="00B34CF1" w:rsidRDefault="00B06B42">
            <w:pPr>
              <w:spacing w:after="0"/>
              <w:rPr>
                <w:rFonts w:cs="Calibri"/>
              </w:rPr>
            </w:pPr>
            <w:r w:rsidRPr="00B34CF1">
              <w:rPr>
                <w:rFonts w:cs="Calibri"/>
              </w:rPr>
              <w:t xml:space="preserve">Toute saisie des partenaires impliqués dans le projet sur la plateforme de dépôt supposera la saisie d’informations parc chacun d’eux, aussi, elle vous est déconseillée à ce stade. </w:t>
            </w:r>
          </w:p>
        </w:tc>
      </w:tr>
      <w:tr w:rsidR="00A64FA2" w14:paraId="256F20A7" w14:textId="77777777" w:rsidTr="00E61E41">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6F20A3" w14:textId="77777777" w:rsidR="00A64FA2" w:rsidRPr="002036DB" w:rsidRDefault="00B06B42">
            <w:pPr>
              <w:spacing w:after="0"/>
              <w:jc w:val="center"/>
              <w:rPr>
                <w:rFonts w:cs="Calibri"/>
                <w:b/>
                <w:bCs/>
              </w:rPr>
            </w:pPr>
            <w:r w:rsidRPr="002036DB">
              <w:rPr>
                <w:rFonts w:cs="Calibri"/>
                <w:b/>
                <w:bCs/>
              </w:rPr>
              <w:t>Calendrier</w:t>
            </w:r>
          </w:p>
        </w:tc>
        <w:tc>
          <w:tcPr>
            <w:tcW w:w="4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6F20A4" w14:textId="77777777" w:rsidR="00A64FA2" w:rsidRPr="00B34CF1" w:rsidRDefault="59FE6E27" w:rsidP="672F9676">
            <w:pPr>
              <w:spacing w:after="0" w:line="259" w:lineRule="auto"/>
              <w:jc w:val="center"/>
              <w:rPr>
                <w:rFonts w:cs="Calibri"/>
              </w:rPr>
            </w:pPr>
            <w:r w:rsidRPr="00B34CF1">
              <w:rPr>
                <w:rFonts w:cs="Calibri"/>
              </w:rPr>
              <w:t>Le début des projets sera-t-il échelonné sur plusieurs années ?</w:t>
            </w:r>
          </w:p>
        </w:tc>
        <w:tc>
          <w:tcPr>
            <w:tcW w:w="964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0A5" w14:textId="77777777" w:rsidR="00A64FA2" w:rsidRPr="00B34CF1" w:rsidRDefault="00B06B42">
            <w:pPr>
              <w:spacing w:after="0"/>
              <w:rPr>
                <w:rFonts w:cs="Calibri"/>
              </w:rPr>
            </w:pPr>
            <w:r w:rsidRPr="00B34CF1">
              <w:rPr>
                <w:rFonts w:cs="Calibri"/>
              </w:rPr>
              <w:t>Oui, la contractualisation se fera à partir de septembre 2024 pour un petit nombre de projets et pour 2025 pour la plupart.</w:t>
            </w:r>
          </w:p>
          <w:p w14:paraId="256F20A6" w14:textId="77777777" w:rsidR="00A64FA2" w:rsidRPr="00B34CF1" w:rsidRDefault="00A64FA2">
            <w:pPr>
              <w:spacing w:after="0"/>
              <w:rPr>
                <w:rFonts w:cs="Calibri"/>
              </w:rPr>
            </w:pPr>
          </w:p>
        </w:tc>
      </w:tr>
      <w:tr w:rsidR="00CE1A1C" w14:paraId="0ABA00B3" w14:textId="77777777" w:rsidTr="00E61E41">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BC18B7" w14:textId="6A741FAE" w:rsidR="00CE1A1C" w:rsidRPr="002036DB" w:rsidRDefault="00CE1A1C" w:rsidP="007B2185">
            <w:pPr>
              <w:spacing w:after="0"/>
              <w:jc w:val="center"/>
              <w:rPr>
                <w:rFonts w:cs="Calibri"/>
                <w:b/>
                <w:bCs/>
              </w:rPr>
            </w:pPr>
            <w:r w:rsidRPr="002036DB">
              <w:rPr>
                <w:rFonts w:cs="Calibri"/>
                <w:b/>
                <w:bCs/>
              </w:rPr>
              <w:t>Statut(s) des porteurs de projets / partenaires et éligibilité des projets</w:t>
            </w:r>
          </w:p>
        </w:tc>
        <w:tc>
          <w:tcPr>
            <w:tcW w:w="4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3E998C" w14:textId="5389B7D6" w:rsidR="00CE1A1C" w:rsidRPr="00B34CF1" w:rsidRDefault="00CE1A1C" w:rsidP="00CE1A1C">
            <w:pPr>
              <w:suppressAutoHyphens w:val="0"/>
              <w:autoSpaceDN/>
              <w:spacing w:after="0"/>
              <w:jc w:val="center"/>
              <w:rPr>
                <w:rFonts w:cs="Calibri"/>
              </w:rPr>
            </w:pPr>
            <w:r w:rsidRPr="00B34CF1">
              <w:rPr>
                <w:rFonts w:cs="Calibri"/>
              </w:rPr>
              <w:t>Le porteur de projet peut-il être contractuel de l'enseignement supérieur et de la recherche ?</w:t>
            </w:r>
          </w:p>
          <w:p w14:paraId="1C0CE1ED" w14:textId="77777777" w:rsidR="00CE1A1C" w:rsidRPr="00B34CF1" w:rsidRDefault="00CE1A1C">
            <w:pPr>
              <w:spacing w:after="0"/>
              <w:jc w:val="center"/>
              <w:rPr>
                <w:rFonts w:cs="Calibri"/>
              </w:rPr>
            </w:pPr>
          </w:p>
        </w:tc>
        <w:tc>
          <w:tcPr>
            <w:tcW w:w="964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4C1B99" w14:textId="2403BA90" w:rsidR="00CE1A1C" w:rsidRPr="00B34CF1" w:rsidRDefault="00CE1A1C" w:rsidP="00CE1A1C">
            <w:pPr>
              <w:spacing w:after="0"/>
              <w:rPr>
                <w:rFonts w:cs="Calibri"/>
              </w:rPr>
            </w:pPr>
            <w:r w:rsidRPr="00B34CF1">
              <w:rPr>
                <w:rFonts w:cs="Calibri"/>
              </w:rPr>
              <w:t xml:space="preserve">Oui, le coordinateur du projet peut </w:t>
            </w:r>
            <w:r w:rsidR="68995284" w:rsidRPr="00B34CF1">
              <w:rPr>
                <w:rFonts w:cs="Calibri"/>
              </w:rPr>
              <w:t>être</w:t>
            </w:r>
            <w:r w:rsidRPr="00B34CF1">
              <w:rPr>
                <w:rFonts w:cs="Calibri"/>
              </w:rPr>
              <w:t xml:space="preserve"> contractuel, dès lors qu'il répond aux éléments indiqués dans les conditions d'éligibilité. </w:t>
            </w:r>
          </w:p>
          <w:p w14:paraId="3543F27A" w14:textId="77777777" w:rsidR="00CE1A1C" w:rsidRPr="00B34CF1" w:rsidRDefault="00CE1A1C">
            <w:pPr>
              <w:spacing w:after="0"/>
              <w:rPr>
                <w:rFonts w:cs="Calibri"/>
              </w:rPr>
            </w:pPr>
          </w:p>
        </w:tc>
      </w:tr>
      <w:tr w:rsidR="00CE1A1C" w14:paraId="256F20B0" w14:textId="77777777" w:rsidTr="00E61E41">
        <w:trPr>
          <w:trHeight w:val="300"/>
        </w:trPr>
        <w:tc>
          <w:tcPr>
            <w:tcW w:w="141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F20AC" w14:textId="7F9D4887" w:rsidR="00CE1A1C" w:rsidRPr="002036DB" w:rsidRDefault="00CE1A1C">
            <w:pPr>
              <w:spacing w:after="0"/>
              <w:jc w:val="center"/>
            </w:pPr>
          </w:p>
        </w:tc>
        <w:tc>
          <w:tcPr>
            <w:tcW w:w="4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6F20AD" w14:textId="77777777" w:rsidR="00CE1A1C" w:rsidRPr="00B34CF1" w:rsidRDefault="00CE1A1C">
            <w:pPr>
              <w:spacing w:after="0"/>
              <w:jc w:val="center"/>
              <w:rPr>
                <w:rFonts w:cs="Calibri"/>
              </w:rPr>
            </w:pPr>
            <w:r w:rsidRPr="00B34CF1">
              <w:rPr>
                <w:rFonts w:cs="Calibri"/>
              </w:rPr>
              <w:t>Les collectivités territoriales peuvent-elles déposer un projet ?</w:t>
            </w:r>
          </w:p>
        </w:tc>
        <w:tc>
          <w:tcPr>
            <w:tcW w:w="964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0AE" w14:textId="77777777" w:rsidR="00CE1A1C" w:rsidRPr="00B34CF1" w:rsidRDefault="00CE1A1C">
            <w:pPr>
              <w:spacing w:after="0"/>
              <w:rPr>
                <w:rFonts w:cs="Calibri"/>
              </w:rPr>
            </w:pPr>
            <w:r w:rsidRPr="00B34CF1">
              <w:rPr>
                <w:rFonts w:cs="Calibri"/>
              </w:rPr>
              <w:t xml:space="preserve">Le projet doit être déposé par un organisme de recherche (public ou privé). Les collectivités territoriales peuvent tout à fait être partie prenante, et largement engagées dans des projets en tant que partenaires. </w:t>
            </w:r>
          </w:p>
          <w:p w14:paraId="256F20AF" w14:textId="77777777" w:rsidR="00CE1A1C" w:rsidRPr="00B34CF1" w:rsidRDefault="00CE1A1C">
            <w:pPr>
              <w:spacing w:after="0"/>
              <w:rPr>
                <w:rFonts w:cs="Calibri"/>
              </w:rPr>
            </w:pPr>
          </w:p>
        </w:tc>
      </w:tr>
      <w:tr w:rsidR="00DD34BB" w14:paraId="080BBE0C" w14:textId="77777777" w:rsidTr="00E61E41">
        <w:trPr>
          <w:trHeight w:val="300"/>
        </w:trPr>
        <w:tc>
          <w:tcPr>
            <w:tcW w:w="141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76020E" w14:textId="77777777" w:rsidR="00DD34BB" w:rsidRPr="002036DB" w:rsidRDefault="00DD34BB">
            <w:pPr>
              <w:spacing w:after="0"/>
              <w:jc w:val="center"/>
            </w:pPr>
          </w:p>
        </w:tc>
        <w:tc>
          <w:tcPr>
            <w:tcW w:w="4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CB1F7A" w14:textId="0FED59E8" w:rsidR="00A1700D" w:rsidRPr="00EC6217" w:rsidRDefault="00A1700D" w:rsidP="00A1700D">
            <w:pPr>
              <w:shd w:val="clear" w:color="auto" w:fill="FFFFFF"/>
              <w:suppressAutoHyphens w:val="0"/>
              <w:autoSpaceDN/>
              <w:spacing w:after="0"/>
              <w:jc w:val="center"/>
              <w:rPr>
                <w:rFonts w:cs="Calibri"/>
              </w:rPr>
            </w:pPr>
            <w:proofErr w:type="gramStart"/>
            <w:r w:rsidRPr="00EC6217">
              <w:rPr>
                <w:rFonts w:cs="Calibri"/>
              </w:rPr>
              <w:t>l</w:t>
            </w:r>
            <w:r w:rsidRPr="00B34CF1">
              <w:rPr>
                <w:rFonts w:cs="Calibri"/>
              </w:rPr>
              <w:t>e</w:t>
            </w:r>
            <w:proofErr w:type="gramEnd"/>
            <w:r w:rsidRPr="00B34CF1">
              <w:rPr>
                <w:rFonts w:cs="Calibri"/>
              </w:rPr>
              <w:t xml:space="preserve"> projet est porté principalement par des équipes en SHS, est-il possible de faire une proposition interdisciplinaire associant d'autres champs disciplinaires (informatique, agro...) ?</w:t>
            </w:r>
          </w:p>
          <w:p w14:paraId="5E399DCA" w14:textId="77777777" w:rsidR="00DD34BB" w:rsidRPr="00B34CF1" w:rsidRDefault="00DD34BB">
            <w:pPr>
              <w:spacing w:after="0"/>
              <w:jc w:val="center"/>
              <w:rPr>
                <w:rFonts w:cs="Calibri"/>
              </w:rPr>
            </w:pPr>
          </w:p>
        </w:tc>
        <w:tc>
          <w:tcPr>
            <w:tcW w:w="964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E71F24" w14:textId="3F40BA30" w:rsidR="00DD34BB" w:rsidRPr="00EC6217" w:rsidRDefault="00A1700D" w:rsidP="00DD34BB">
            <w:pPr>
              <w:shd w:val="clear" w:color="auto" w:fill="FFFFFF"/>
              <w:suppressAutoHyphens w:val="0"/>
              <w:autoSpaceDN/>
              <w:spacing w:after="0"/>
              <w:rPr>
                <w:rFonts w:cs="Calibri"/>
              </w:rPr>
            </w:pPr>
            <w:r w:rsidRPr="00EC6217">
              <w:rPr>
                <w:rFonts w:cs="Calibri"/>
              </w:rPr>
              <w:t>O</w:t>
            </w:r>
            <w:r w:rsidR="00DD34BB" w:rsidRPr="00EC6217">
              <w:rPr>
                <w:rFonts w:cs="Calibri"/>
              </w:rPr>
              <w:t xml:space="preserve">ui, un tel montage est tout à fait possible. </w:t>
            </w:r>
            <w:r w:rsidRPr="00EC6217">
              <w:rPr>
                <w:rFonts w:cs="Calibri"/>
              </w:rPr>
              <w:t>Les</w:t>
            </w:r>
            <w:r w:rsidR="00DD34BB" w:rsidRPr="00EC6217">
              <w:rPr>
                <w:rFonts w:cs="Calibri"/>
              </w:rPr>
              <w:t xml:space="preserve"> consortiums pluridisciplinaires peuvent être en sciences sociales ainsi que dans d'autres domaines scientifiques afin d'avoir une variété de compétences et d'expertises pour favoriser une approche intégrée et exhaustive dans la recherche</w:t>
            </w:r>
            <w:r w:rsidRPr="00EC6217">
              <w:rPr>
                <w:rFonts w:cs="Calibri"/>
              </w:rPr>
              <w:t xml:space="preserve">. </w:t>
            </w:r>
          </w:p>
          <w:p w14:paraId="63672BE4" w14:textId="77777777" w:rsidR="00DD34BB" w:rsidRPr="00B34CF1" w:rsidRDefault="00DD34BB">
            <w:pPr>
              <w:spacing w:after="0"/>
              <w:rPr>
                <w:rFonts w:cs="Calibri"/>
              </w:rPr>
            </w:pPr>
          </w:p>
        </w:tc>
      </w:tr>
      <w:tr w:rsidR="00CE1A1C" w14:paraId="256F20B4" w14:textId="77777777" w:rsidTr="00E61E41">
        <w:trPr>
          <w:trHeight w:val="300"/>
        </w:trPr>
        <w:tc>
          <w:tcPr>
            <w:tcW w:w="141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F20B1" w14:textId="77777777" w:rsidR="00CE1A1C" w:rsidRDefault="00CE1A1C">
            <w:pPr>
              <w:spacing w:after="0"/>
              <w:jc w:val="center"/>
              <w:rPr>
                <w:rFonts w:cs="Calibri"/>
                <w:sz w:val="20"/>
                <w:szCs w:val="20"/>
              </w:rPr>
            </w:pPr>
          </w:p>
        </w:tc>
        <w:tc>
          <w:tcPr>
            <w:tcW w:w="4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6F20B2" w14:textId="77777777" w:rsidR="00CE1A1C" w:rsidRPr="00B34CF1" w:rsidRDefault="00CE1A1C">
            <w:pPr>
              <w:spacing w:after="0"/>
              <w:jc w:val="center"/>
              <w:rPr>
                <w:rFonts w:cs="Calibri"/>
              </w:rPr>
            </w:pPr>
            <w:r w:rsidRPr="00B34CF1">
              <w:rPr>
                <w:rFonts w:cs="Calibri"/>
              </w:rPr>
              <w:t>Une association peut-elle être éligible en tant que partenaires de projet ?</w:t>
            </w:r>
          </w:p>
        </w:tc>
        <w:tc>
          <w:tcPr>
            <w:tcW w:w="964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0B3" w14:textId="77777777" w:rsidR="00CE1A1C" w:rsidRPr="00B34CF1" w:rsidRDefault="00CE1A1C">
            <w:pPr>
              <w:spacing w:after="0"/>
              <w:rPr>
                <w:rFonts w:cs="Calibri"/>
              </w:rPr>
            </w:pPr>
            <w:r w:rsidRPr="00B34CF1">
              <w:rPr>
                <w:rFonts w:cs="Calibri"/>
              </w:rPr>
              <w:t xml:space="preserve">Oui, les associations sont éligibles ; tous comme les entreprises ou les collectivités territoriales. </w:t>
            </w:r>
          </w:p>
        </w:tc>
      </w:tr>
      <w:tr w:rsidR="00CE1A1C" w14:paraId="256F20B8" w14:textId="77777777" w:rsidTr="00E61E41">
        <w:trPr>
          <w:trHeight w:val="300"/>
        </w:trPr>
        <w:tc>
          <w:tcPr>
            <w:tcW w:w="1418" w:type="dxa"/>
            <w:vMerge/>
            <w:tcBorders>
              <w:top w:val="single" w:sz="4" w:space="0" w:color="auto"/>
            </w:tcBorders>
            <w:tcMar>
              <w:top w:w="0" w:type="dxa"/>
              <w:left w:w="108" w:type="dxa"/>
              <w:bottom w:w="0" w:type="dxa"/>
              <w:right w:w="108" w:type="dxa"/>
            </w:tcMar>
            <w:vAlign w:val="center"/>
          </w:tcPr>
          <w:p w14:paraId="256F20B5" w14:textId="77777777" w:rsidR="00CE1A1C" w:rsidRDefault="00CE1A1C">
            <w:pPr>
              <w:spacing w:after="0"/>
              <w:jc w:val="center"/>
              <w:rPr>
                <w:rFonts w:cs="Calibri"/>
                <w:sz w:val="20"/>
                <w:szCs w:val="20"/>
              </w:rPr>
            </w:pPr>
          </w:p>
        </w:tc>
        <w:tc>
          <w:tcPr>
            <w:tcW w:w="425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0B6" w14:textId="77777777" w:rsidR="00CE1A1C" w:rsidRPr="00B34CF1" w:rsidRDefault="00CE1A1C">
            <w:pPr>
              <w:spacing w:after="0"/>
              <w:jc w:val="center"/>
              <w:rPr>
                <w:rFonts w:cs="Calibri"/>
              </w:rPr>
            </w:pPr>
            <w:r w:rsidRPr="00B34CF1">
              <w:rPr>
                <w:rFonts w:cs="Calibri"/>
              </w:rPr>
              <w:t>Les porteurs de projets peuvent-ils avoir des partenaires étrangers ? Et/ou être basés à l'étranger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0B7" w14:textId="4CA61239" w:rsidR="00CE1A1C" w:rsidRPr="00B34CF1" w:rsidRDefault="00CE1A1C" w:rsidP="002036DB">
            <w:pPr>
              <w:spacing w:after="200" w:line="276" w:lineRule="auto"/>
              <w:jc w:val="both"/>
              <w:rPr>
                <w:rFonts w:cs="Calibri"/>
              </w:rPr>
            </w:pPr>
            <w:r w:rsidRPr="00B34CF1">
              <w:rPr>
                <w:rFonts w:cs="Calibri"/>
              </w:rPr>
              <w:t xml:space="preserve">Les équipes de recherche étrangères (non limitées à l'Union Européenne) sont éligibles à un soutien financier </w:t>
            </w:r>
            <w:r w:rsidR="0D68A49C" w:rsidRPr="00B34CF1">
              <w:rPr>
                <w:rFonts w:ascii="Arial" w:eastAsia="Arial" w:hAnsi="Arial" w:cs="Arial"/>
                <w:sz w:val="20"/>
                <w:szCs w:val="20"/>
              </w:rPr>
              <w:t>Il convient toutefois de s’assurer que la finalité et l’objet de l’opération aidée entrent dans les domaines d’activité de l’ADEME et satisfont aux objectifs qu’elle poursuit et de privilégier, pour les projets collaboratifs, que la coordination soit confiée à un bénéficiaire français.</w:t>
            </w:r>
          </w:p>
        </w:tc>
      </w:tr>
      <w:tr w:rsidR="00CE1A1C" w14:paraId="256F20BC" w14:textId="77777777" w:rsidTr="00E61E41">
        <w:trPr>
          <w:trHeight w:val="300"/>
        </w:trPr>
        <w:tc>
          <w:tcPr>
            <w:tcW w:w="1418" w:type="dxa"/>
            <w:vMerge/>
            <w:tcMar>
              <w:top w:w="0" w:type="dxa"/>
              <w:left w:w="108" w:type="dxa"/>
              <w:bottom w:w="0" w:type="dxa"/>
              <w:right w:w="108" w:type="dxa"/>
            </w:tcMar>
            <w:vAlign w:val="center"/>
          </w:tcPr>
          <w:p w14:paraId="256F20B9" w14:textId="77777777" w:rsidR="00CE1A1C" w:rsidRDefault="00CE1A1C">
            <w:pPr>
              <w:spacing w:after="0"/>
              <w:jc w:val="center"/>
              <w:rPr>
                <w:rFonts w:cs="Calibri"/>
                <w:sz w:val="20"/>
                <w:szCs w:val="20"/>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0BA" w14:textId="77777777" w:rsidR="00CE1A1C" w:rsidRPr="00B34CF1" w:rsidRDefault="00CE1A1C">
            <w:pPr>
              <w:spacing w:after="0"/>
              <w:jc w:val="center"/>
              <w:rPr>
                <w:rFonts w:cs="Calibri"/>
              </w:rPr>
            </w:pPr>
            <w:r w:rsidRPr="00B34CF1">
              <w:rPr>
                <w:rFonts w:cs="Calibri"/>
              </w:rPr>
              <w:t>Les sous-traitants doivent-ils apparaître dans la liste des partenaires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0BB" w14:textId="77777777" w:rsidR="00CE1A1C" w:rsidRPr="00B34CF1" w:rsidRDefault="00CE1A1C">
            <w:pPr>
              <w:rPr>
                <w:rFonts w:cs="Calibri"/>
              </w:rPr>
            </w:pPr>
            <w:r w:rsidRPr="00B34CF1">
              <w:rPr>
                <w:rFonts w:cs="Calibri"/>
              </w:rPr>
              <w:t>Les sous-traitants ne sont pas des partenaires, ils doivent cependant être cités et leur contribution décrite dans le volet technique du dossier complet, afin de permettre l’expertise scientifique et technique du projet. Ceci est particulièrement important en phase 2 de sélection (dépôt du projet complet).</w:t>
            </w:r>
          </w:p>
        </w:tc>
      </w:tr>
      <w:tr w:rsidR="00CE1A1C" w14:paraId="256F20C1" w14:textId="77777777" w:rsidTr="00E61E41">
        <w:trPr>
          <w:trHeight w:val="300"/>
        </w:trPr>
        <w:tc>
          <w:tcPr>
            <w:tcW w:w="1418" w:type="dxa"/>
            <w:vMerge/>
            <w:tcMar>
              <w:top w:w="0" w:type="dxa"/>
              <w:left w:w="108" w:type="dxa"/>
              <w:bottom w:w="0" w:type="dxa"/>
              <w:right w:w="108" w:type="dxa"/>
            </w:tcMar>
            <w:vAlign w:val="center"/>
          </w:tcPr>
          <w:p w14:paraId="256F20BD" w14:textId="77777777" w:rsidR="00CE1A1C" w:rsidRDefault="00CE1A1C">
            <w:pPr>
              <w:spacing w:after="0"/>
              <w:jc w:val="center"/>
              <w:rPr>
                <w:rFonts w:cs="Calibri"/>
                <w:b/>
                <w:bCs/>
                <w:sz w:val="20"/>
                <w:szCs w:val="20"/>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0BE" w14:textId="77777777" w:rsidR="00CE1A1C" w:rsidRPr="00B34CF1" w:rsidRDefault="00CE1A1C">
            <w:pPr>
              <w:spacing w:after="0"/>
              <w:jc w:val="center"/>
              <w:rPr>
                <w:rFonts w:cs="Calibri"/>
              </w:rPr>
            </w:pPr>
            <w:r w:rsidRPr="00B34CF1">
              <w:rPr>
                <w:rFonts w:cs="Calibri"/>
              </w:rPr>
              <w:t>Un partenaire ne demandant pas d'aide financière peut-il être considéré comme partenaire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0BF" w14:textId="005FFF91" w:rsidR="00CE1A1C" w:rsidRPr="00B34CF1" w:rsidRDefault="00CE1A1C">
            <w:pPr>
              <w:rPr>
                <w:rFonts w:cs="Calibri"/>
              </w:rPr>
            </w:pPr>
            <w:r w:rsidRPr="00B34CF1">
              <w:rPr>
                <w:rFonts w:cs="Calibri"/>
              </w:rPr>
              <w:t>Il est possible qu’un partenaire participe au projet sans demander de soutien financier. Il sera identifié comme tel dans le contrat à conclure avec l’ADEME</w:t>
            </w:r>
            <w:r w:rsidR="4EC3BF6A" w:rsidRPr="00B34CF1">
              <w:rPr>
                <w:rFonts w:cs="Calibri"/>
              </w:rPr>
              <w:t>.</w:t>
            </w:r>
          </w:p>
          <w:p w14:paraId="256F20C0" w14:textId="77777777" w:rsidR="00CE1A1C" w:rsidRPr="00B34CF1" w:rsidRDefault="00CE1A1C">
            <w:pPr>
              <w:rPr>
                <w:rFonts w:cs="Calibri"/>
              </w:rPr>
            </w:pPr>
          </w:p>
        </w:tc>
      </w:tr>
      <w:tr w:rsidR="00CE1A1C" w14:paraId="256F20C8" w14:textId="77777777" w:rsidTr="00E61E41">
        <w:trPr>
          <w:trHeight w:val="300"/>
        </w:trPr>
        <w:tc>
          <w:tcPr>
            <w:tcW w:w="1418" w:type="dxa"/>
            <w:vMerge/>
            <w:tcMar>
              <w:top w:w="0" w:type="dxa"/>
              <w:left w:w="108" w:type="dxa"/>
              <w:bottom w:w="0" w:type="dxa"/>
              <w:right w:w="108" w:type="dxa"/>
            </w:tcMar>
            <w:vAlign w:val="center"/>
          </w:tcPr>
          <w:p w14:paraId="256F20C2" w14:textId="77777777" w:rsidR="00CE1A1C" w:rsidRDefault="00CE1A1C">
            <w:pPr>
              <w:spacing w:after="0"/>
              <w:jc w:val="center"/>
              <w:rPr>
                <w:rFonts w:cs="Calibri"/>
                <w:b/>
                <w:bCs/>
                <w:sz w:val="20"/>
                <w:szCs w:val="20"/>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F20C3" w14:textId="77512951" w:rsidR="00CE1A1C" w:rsidRPr="00B34CF1" w:rsidRDefault="00CE1A1C">
            <w:pPr>
              <w:suppressAutoHyphens w:val="0"/>
              <w:ind w:firstLine="220"/>
              <w:jc w:val="center"/>
              <w:rPr>
                <w:rFonts w:cs="Calibri"/>
              </w:rPr>
            </w:pPr>
            <w:r w:rsidRPr="00B34CF1">
              <w:rPr>
                <w:rFonts w:cs="Calibri"/>
              </w:rPr>
              <w:t xml:space="preserve">Quel niveau de maturité du consortium est attendu </w:t>
            </w:r>
            <w:r w:rsidRPr="00E91E82">
              <w:rPr>
                <w:rFonts w:cs="Calibri"/>
                <w:u w:val="single"/>
              </w:rPr>
              <w:t>pour le préprojet</w:t>
            </w:r>
            <w:r w:rsidRPr="00B34CF1">
              <w:rPr>
                <w:rFonts w:cs="Calibri"/>
              </w:rPr>
              <w:t xml:space="preserve"> ? Si tous les partenaires ne peuvent s'engager de manière certaine à cette phase de </w:t>
            </w:r>
            <w:proofErr w:type="spellStart"/>
            <w:r w:rsidRPr="00B34CF1">
              <w:rPr>
                <w:rFonts w:cs="Calibri"/>
              </w:rPr>
              <w:t>pré</w:t>
            </w:r>
            <w:r w:rsidR="00795AAD" w:rsidRPr="00B34CF1">
              <w:rPr>
                <w:rFonts w:cs="Calibri"/>
              </w:rPr>
              <w:t>-</w:t>
            </w:r>
            <w:r w:rsidRPr="00B34CF1">
              <w:rPr>
                <w:rFonts w:cs="Calibri"/>
              </w:rPr>
              <w:t>selection</w:t>
            </w:r>
            <w:proofErr w:type="spellEnd"/>
            <w:r w:rsidRPr="00B34CF1">
              <w:rPr>
                <w:rFonts w:cs="Calibri"/>
              </w:rPr>
              <w:t>, peut-on seulement mentionner des profils type de partenaires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F20C4" w14:textId="2AECD798" w:rsidR="00CE1A1C" w:rsidRPr="00B34CF1" w:rsidRDefault="00CE1A1C">
            <w:pPr>
              <w:suppressAutoHyphens w:val="0"/>
              <w:rPr>
                <w:rFonts w:cs="Calibri"/>
              </w:rPr>
            </w:pPr>
            <w:r w:rsidRPr="00B34CF1">
              <w:rPr>
                <w:rFonts w:cs="Calibri"/>
              </w:rPr>
              <w:t xml:space="preserve">Pour le cas particulier </w:t>
            </w:r>
            <w:proofErr w:type="gramStart"/>
            <w:r w:rsidRPr="00B34CF1">
              <w:rPr>
                <w:rFonts w:cs="Calibri"/>
              </w:rPr>
              <w:t>d’un APR</w:t>
            </w:r>
            <w:proofErr w:type="gramEnd"/>
            <w:r w:rsidRPr="00B34CF1">
              <w:rPr>
                <w:rFonts w:cs="Calibri"/>
              </w:rPr>
              <w:t xml:space="preserve"> se déroulant en 2 phases, le consortium doit être aussi consolidé que possible au dépôt de la première phase mais pourra évoluer sur recommandation du jury de sélection.</w:t>
            </w:r>
          </w:p>
          <w:p w14:paraId="256F20C5" w14:textId="77777777" w:rsidR="00CE1A1C" w:rsidRPr="00B34CF1" w:rsidRDefault="00CE1A1C">
            <w:pPr>
              <w:suppressAutoHyphens w:val="0"/>
              <w:rPr>
                <w:rFonts w:cs="Calibri"/>
              </w:rPr>
            </w:pPr>
            <w:r w:rsidRPr="00B34CF1">
              <w:rPr>
                <w:rFonts w:cs="Calibri"/>
              </w:rPr>
              <w:t xml:space="preserve">Dans le cas où il n’y aurait pas d’engagement certain d’un partenaire, il est possible de mentionner des profils types de partenaires en phase 1. </w:t>
            </w:r>
          </w:p>
          <w:p w14:paraId="256F20C6" w14:textId="1DA6903C" w:rsidR="00CE1A1C" w:rsidRPr="00B34CF1" w:rsidRDefault="00CE1A1C">
            <w:pPr>
              <w:suppressAutoHyphens w:val="0"/>
              <w:rPr>
                <w:rFonts w:cs="Calibri"/>
              </w:rPr>
            </w:pPr>
            <w:r w:rsidRPr="00B34CF1">
              <w:rPr>
                <w:rFonts w:cs="Calibri"/>
              </w:rPr>
              <w:t>Dans le modèle de préprojet, il est conseillé au porteur de projet de préciser le niveau d’avancement du partenariat (engagé ou potentiel).</w:t>
            </w:r>
          </w:p>
          <w:p w14:paraId="256F20C7" w14:textId="6C647D30" w:rsidR="00CE1A1C" w:rsidRPr="00B34CF1" w:rsidRDefault="00CE1A1C" w:rsidP="672F9676">
            <w:pPr>
              <w:suppressAutoHyphens w:val="0"/>
              <w:spacing w:after="240"/>
              <w:rPr>
                <w:rFonts w:cs="Calibri"/>
              </w:rPr>
            </w:pPr>
            <w:r w:rsidRPr="00B34CF1">
              <w:rPr>
                <w:rFonts w:cs="Calibri"/>
              </w:rPr>
              <w:t>Pour la phase 1 de l’APR TEES, indiquer les partenaires dans le document de préprojet uniquement ; et pas sur la plateforme (cela impose la saisie d’infos par chaque partenaire).</w:t>
            </w:r>
          </w:p>
        </w:tc>
      </w:tr>
      <w:tr w:rsidR="00DF4CC2" w14:paraId="256F210E" w14:textId="77777777" w:rsidTr="00E61E41">
        <w:trPr>
          <w:trHeight w:val="1136"/>
        </w:trPr>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0C9" w14:textId="77777777" w:rsidR="00DF4CC2" w:rsidRDefault="00DF4CC2">
            <w:pPr>
              <w:spacing w:after="0"/>
              <w:jc w:val="center"/>
              <w:rPr>
                <w:rFonts w:cs="Calibri"/>
                <w:sz w:val="20"/>
                <w:szCs w:val="20"/>
              </w:rPr>
            </w:pPr>
          </w:p>
          <w:p w14:paraId="256F20CA" w14:textId="77777777" w:rsidR="00DF4CC2" w:rsidRDefault="00DF4CC2">
            <w:pPr>
              <w:spacing w:after="0"/>
              <w:jc w:val="center"/>
              <w:rPr>
                <w:rFonts w:cs="Calibri"/>
                <w:sz w:val="20"/>
                <w:szCs w:val="20"/>
              </w:rPr>
            </w:pPr>
          </w:p>
          <w:p w14:paraId="256F20CB" w14:textId="77777777" w:rsidR="00DF4CC2" w:rsidRDefault="00DF4CC2">
            <w:pPr>
              <w:spacing w:after="0"/>
              <w:jc w:val="center"/>
              <w:rPr>
                <w:rFonts w:cs="Calibri"/>
                <w:sz w:val="20"/>
                <w:szCs w:val="20"/>
              </w:rPr>
            </w:pPr>
          </w:p>
          <w:p w14:paraId="256F20CC" w14:textId="77777777" w:rsidR="00DF4CC2" w:rsidRDefault="00DF4CC2">
            <w:pPr>
              <w:spacing w:after="0"/>
              <w:jc w:val="center"/>
              <w:rPr>
                <w:rFonts w:cs="Calibri"/>
                <w:sz w:val="20"/>
                <w:szCs w:val="20"/>
              </w:rPr>
            </w:pPr>
          </w:p>
          <w:p w14:paraId="256F20CD" w14:textId="77777777" w:rsidR="00DF4CC2" w:rsidRDefault="00DF4CC2">
            <w:pPr>
              <w:spacing w:after="0"/>
              <w:jc w:val="center"/>
              <w:rPr>
                <w:rFonts w:cs="Calibri"/>
                <w:sz w:val="20"/>
                <w:szCs w:val="20"/>
              </w:rPr>
            </w:pPr>
          </w:p>
          <w:p w14:paraId="256F20CE" w14:textId="77777777" w:rsidR="00DF4CC2" w:rsidRDefault="00DF4CC2">
            <w:pPr>
              <w:spacing w:after="0"/>
              <w:jc w:val="center"/>
              <w:rPr>
                <w:rFonts w:cs="Calibri"/>
                <w:sz w:val="20"/>
                <w:szCs w:val="20"/>
              </w:rPr>
            </w:pPr>
          </w:p>
          <w:p w14:paraId="256F20CF" w14:textId="77777777" w:rsidR="00DF4CC2" w:rsidRDefault="00DF4CC2">
            <w:pPr>
              <w:spacing w:after="0"/>
              <w:jc w:val="center"/>
              <w:rPr>
                <w:rFonts w:cs="Calibri"/>
                <w:sz w:val="20"/>
                <w:szCs w:val="20"/>
              </w:rPr>
            </w:pPr>
          </w:p>
          <w:p w14:paraId="256F20D0" w14:textId="77777777" w:rsidR="00DF4CC2" w:rsidRDefault="00DF4CC2">
            <w:pPr>
              <w:spacing w:after="0"/>
              <w:jc w:val="center"/>
              <w:rPr>
                <w:rFonts w:cs="Calibri"/>
                <w:sz w:val="20"/>
                <w:szCs w:val="20"/>
              </w:rPr>
            </w:pPr>
          </w:p>
          <w:p w14:paraId="256F20D1" w14:textId="77777777" w:rsidR="00DF4CC2" w:rsidRDefault="00DF4CC2">
            <w:pPr>
              <w:spacing w:after="0"/>
              <w:jc w:val="center"/>
              <w:rPr>
                <w:rFonts w:cs="Calibri"/>
                <w:sz w:val="20"/>
                <w:szCs w:val="20"/>
              </w:rPr>
            </w:pPr>
          </w:p>
          <w:p w14:paraId="256F20D2" w14:textId="77777777" w:rsidR="00DF4CC2" w:rsidRDefault="00DF4CC2">
            <w:pPr>
              <w:spacing w:after="0"/>
              <w:jc w:val="center"/>
              <w:rPr>
                <w:rFonts w:cs="Calibri"/>
                <w:sz w:val="20"/>
                <w:szCs w:val="20"/>
              </w:rPr>
            </w:pPr>
          </w:p>
          <w:p w14:paraId="256F20D3" w14:textId="77777777" w:rsidR="00DF4CC2" w:rsidRDefault="00DF4CC2">
            <w:pPr>
              <w:spacing w:after="0"/>
              <w:jc w:val="center"/>
              <w:rPr>
                <w:rFonts w:cs="Calibri"/>
                <w:sz w:val="20"/>
                <w:szCs w:val="20"/>
              </w:rPr>
            </w:pPr>
          </w:p>
          <w:p w14:paraId="256F20D4" w14:textId="77777777" w:rsidR="00DF4CC2" w:rsidRDefault="00DF4CC2">
            <w:pPr>
              <w:spacing w:after="0"/>
              <w:jc w:val="center"/>
            </w:pPr>
            <w:r>
              <w:rPr>
                <w:rFonts w:cs="Calibri"/>
                <w:b/>
                <w:bCs/>
              </w:rPr>
              <w:t>Systèmes d'aide – financement</w:t>
            </w:r>
          </w:p>
          <w:p w14:paraId="256F20D5" w14:textId="77777777" w:rsidR="00DF4CC2" w:rsidRDefault="00DF4CC2">
            <w:pPr>
              <w:spacing w:after="0"/>
              <w:jc w:val="center"/>
              <w:rPr>
                <w:rFonts w:cs="Calibri"/>
                <w:b/>
                <w:bCs/>
                <w:sz w:val="20"/>
                <w:szCs w:val="20"/>
              </w:rPr>
            </w:pPr>
          </w:p>
          <w:p w14:paraId="256F20D6" w14:textId="77777777" w:rsidR="00DF4CC2" w:rsidRDefault="00DF4CC2">
            <w:pPr>
              <w:spacing w:after="0"/>
              <w:jc w:val="center"/>
              <w:rPr>
                <w:rFonts w:cs="Calibri"/>
                <w:b/>
                <w:bCs/>
                <w:sz w:val="20"/>
                <w:szCs w:val="20"/>
              </w:rPr>
            </w:pPr>
          </w:p>
          <w:p w14:paraId="256F20D7" w14:textId="77777777" w:rsidR="00DF4CC2" w:rsidRDefault="00DF4CC2">
            <w:pPr>
              <w:spacing w:after="0"/>
              <w:jc w:val="center"/>
              <w:rPr>
                <w:rFonts w:cs="Calibri"/>
                <w:b/>
                <w:bCs/>
                <w:sz w:val="20"/>
                <w:szCs w:val="20"/>
              </w:rPr>
            </w:pPr>
          </w:p>
          <w:p w14:paraId="256F20D8" w14:textId="77777777" w:rsidR="00DF4CC2" w:rsidRDefault="00DF4CC2">
            <w:pPr>
              <w:spacing w:after="0"/>
              <w:jc w:val="center"/>
              <w:rPr>
                <w:rFonts w:cs="Calibri"/>
                <w:b/>
                <w:bCs/>
                <w:sz w:val="20"/>
                <w:szCs w:val="20"/>
              </w:rPr>
            </w:pPr>
          </w:p>
          <w:p w14:paraId="256F20D9" w14:textId="77777777" w:rsidR="00DF4CC2" w:rsidRDefault="00DF4CC2">
            <w:pPr>
              <w:spacing w:after="0"/>
              <w:jc w:val="center"/>
              <w:rPr>
                <w:rFonts w:cs="Calibri"/>
                <w:b/>
                <w:bCs/>
                <w:sz w:val="20"/>
                <w:szCs w:val="20"/>
              </w:rPr>
            </w:pPr>
          </w:p>
          <w:p w14:paraId="256F20DA" w14:textId="77777777" w:rsidR="00DF4CC2" w:rsidRDefault="00DF4CC2">
            <w:pPr>
              <w:spacing w:after="0"/>
              <w:jc w:val="center"/>
              <w:rPr>
                <w:rFonts w:cs="Calibri"/>
                <w:b/>
                <w:bCs/>
                <w:sz w:val="20"/>
                <w:szCs w:val="20"/>
              </w:rPr>
            </w:pPr>
          </w:p>
          <w:p w14:paraId="256F20DB" w14:textId="77777777" w:rsidR="00DF4CC2" w:rsidRDefault="00DF4CC2">
            <w:pPr>
              <w:spacing w:after="0"/>
              <w:jc w:val="center"/>
              <w:rPr>
                <w:rFonts w:cs="Calibri"/>
                <w:b/>
                <w:bCs/>
                <w:sz w:val="20"/>
                <w:szCs w:val="20"/>
              </w:rPr>
            </w:pPr>
          </w:p>
          <w:p w14:paraId="256F20DC" w14:textId="77777777" w:rsidR="00DF4CC2" w:rsidRDefault="00DF4CC2">
            <w:pPr>
              <w:spacing w:after="0"/>
              <w:jc w:val="center"/>
              <w:rPr>
                <w:rFonts w:cs="Calibri"/>
                <w:b/>
                <w:bCs/>
                <w:sz w:val="20"/>
                <w:szCs w:val="20"/>
              </w:rPr>
            </w:pPr>
          </w:p>
          <w:p w14:paraId="256F20DD" w14:textId="77777777" w:rsidR="00DF4CC2" w:rsidRDefault="00DF4CC2">
            <w:pPr>
              <w:spacing w:after="0"/>
              <w:jc w:val="center"/>
              <w:rPr>
                <w:rFonts w:cs="Calibri"/>
                <w:b/>
                <w:bCs/>
                <w:sz w:val="20"/>
                <w:szCs w:val="20"/>
              </w:rPr>
            </w:pPr>
          </w:p>
          <w:p w14:paraId="256F20DE" w14:textId="77777777" w:rsidR="00DF4CC2" w:rsidRDefault="00DF4CC2">
            <w:pPr>
              <w:spacing w:after="0"/>
              <w:jc w:val="center"/>
              <w:rPr>
                <w:rFonts w:cs="Calibri"/>
                <w:b/>
                <w:bCs/>
                <w:sz w:val="20"/>
                <w:szCs w:val="20"/>
              </w:rPr>
            </w:pPr>
          </w:p>
          <w:p w14:paraId="256F20DF" w14:textId="77777777" w:rsidR="00DF4CC2" w:rsidRDefault="00DF4CC2">
            <w:pPr>
              <w:spacing w:after="0"/>
              <w:jc w:val="center"/>
              <w:rPr>
                <w:rFonts w:cs="Calibri"/>
                <w:b/>
                <w:bCs/>
                <w:sz w:val="20"/>
                <w:szCs w:val="20"/>
              </w:rPr>
            </w:pPr>
          </w:p>
          <w:p w14:paraId="256F20E0" w14:textId="77777777" w:rsidR="00DF4CC2" w:rsidRDefault="00DF4CC2">
            <w:pPr>
              <w:spacing w:after="0"/>
              <w:jc w:val="center"/>
              <w:rPr>
                <w:rFonts w:cs="Calibri"/>
                <w:b/>
                <w:bCs/>
                <w:sz w:val="20"/>
                <w:szCs w:val="20"/>
              </w:rPr>
            </w:pPr>
          </w:p>
          <w:p w14:paraId="256F20E1" w14:textId="77777777" w:rsidR="00DF4CC2" w:rsidRDefault="00DF4CC2">
            <w:pPr>
              <w:spacing w:after="0"/>
              <w:jc w:val="center"/>
              <w:rPr>
                <w:rFonts w:cs="Calibri"/>
                <w:b/>
                <w:bCs/>
                <w:sz w:val="20"/>
                <w:szCs w:val="20"/>
              </w:rPr>
            </w:pPr>
          </w:p>
          <w:p w14:paraId="256F20E2" w14:textId="77777777" w:rsidR="00DF4CC2" w:rsidRDefault="00DF4CC2">
            <w:pPr>
              <w:spacing w:after="0"/>
              <w:jc w:val="center"/>
              <w:rPr>
                <w:rFonts w:cs="Calibri"/>
                <w:b/>
                <w:bCs/>
                <w:sz w:val="20"/>
                <w:szCs w:val="20"/>
              </w:rPr>
            </w:pPr>
          </w:p>
          <w:p w14:paraId="256F20E3" w14:textId="77777777" w:rsidR="00DF4CC2" w:rsidRDefault="00DF4CC2">
            <w:pPr>
              <w:spacing w:after="0"/>
              <w:jc w:val="center"/>
              <w:rPr>
                <w:rFonts w:cs="Calibri"/>
                <w:b/>
                <w:bCs/>
                <w:sz w:val="20"/>
                <w:szCs w:val="20"/>
              </w:rPr>
            </w:pPr>
          </w:p>
          <w:p w14:paraId="256F20E4" w14:textId="77777777" w:rsidR="00DF4CC2" w:rsidRDefault="00DF4CC2">
            <w:pPr>
              <w:spacing w:after="0"/>
              <w:jc w:val="center"/>
              <w:rPr>
                <w:rFonts w:cs="Calibri"/>
                <w:b/>
                <w:bCs/>
                <w:sz w:val="20"/>
                <w:szCs w:val="20"/>
              </w:rPr>
            </w:pPr>
          </w:p>
          <w:p w14:paraId="256F20E5" w14:textId="77777777" w:rsidR="00DF4CC2" w:rsidRDefault="00DF4CC2">
            <w:pPr>
              <w:spacing w:after="0"/>
              <w:jc w:val="center"/>
              <w:rPr>
                <w:rFonts w:cs="Calibri"/>
                <w:b/>
                <w:bCs/>
                <w:sz w:val="20"/>
                <w:szCs w:val="20"/>
              </w:rPr>
            </w:pPr>
          </w:p>
          <w:p w14:paraId="256F20E6" w14:textId="77777777" w:rsidR="00DF4CC2" w:rsidRDefault="00DF4CC2">
            <w:pPr>
              <w:spacing w:after="0"/>
              <w:jc w:val="center"/>
              <w:rPr>
                <w:rFonts w:cs="Calibri"/>
                <w:b/>
                <w:bCs/>
                <w:sz w:val="20"/>
                <w:szCs w:val="20"/>
              </w:rPr>
            </w:pPr>
          </w:p>
          <w:p w14:paraId="256F20E7" w14:textId="77777777" w:rsidR="00DF4CC2" w:rsidRDefault="00DF4CC2">
            <w:pPr>
              <w:spacing w:after="0"/>
              <w:jc w:val="center"/>
              <w:rPr>
                <w:rFonts w:cs="Calibri"/>
                <w:b/>
                <w:bCs/>
                <w:sz w:val="20"/>
                <w:szCs w:val="20"/>
              </w:rPr>
            </w:pPr>
          </w:p>
          <w:p w14:paraId="256F20E8" w14:textId="77777777" w:rsidR="00DF4CC2" w:rsidRDefault="00DF4CC2">
            <w:pPr>
              <w:spacing w:after="0"/>
              <w:jc w:val="center"/>
              <w:rPr>
                <w:rFonts w:cs="Calibri"/>
                <w:b/>
                <w:bCs/>
                <w:sz w:val="20"/>
                <w:szCs w:val="20"/>
              </w:rPr>
            </w:pPr>
          </w:p>
          <w:p w14:paraId="256F20E9" w14:textId="77777777" w:rsidR="00DF4CC2" w:rsidRDefault="00DF4CC2">
            <w:pPr>
              <w:spacing w:after="0"/>
              <w:jc w:val="center"/>
              <w:rPr>
                <w:rFonts w:cs="Calibri"/>
                <w:b/>
                <w:bCs/>
                <w:sz w:val="20"/>
                <w:szCs w:val="20"/>
              </w:rPr>
            </w:pPr>
          </w:p>
          <w:p w14:paraId="256F20EA" w14:textId="77777777" w:rsidR="00DF4CC2" w:rsidRDefault="00DF4CC2">
            <w:pPr>
              <w:spacing w:after="0"/>
              <w:jc w:val="center"/>
              <w:rPr>
                <w:rFonts w:cs="Calibri"/>
                <w:b/>
                <w:bCs/>
                <w:sz w:val="20"/>
                <w:szCs w:val="20"/>
              </w:rPr>
            </w:pPr>
          </w:p>
          <w:p w14:paraId="256F20EB" w14:textId="77777777" w:rsidR="00DF4CC2" w:rsidRDefault="00DF4CC2">
            <w:pPr>
              <w:spacing w:after="0"/>
              <w:jc w:val="center"/>
              <w:rPr>
                <w:rFonts w:cs="Calibri"/>
                <w:b/>
                <w:bCs/>
                <w:sz w:val="20"/>
                <w:szCs w:val="20"/>
              </w:rPr>
            </w:pPr>
          </w:p>
          <w:p w14:paraId="256F20EC" w14:textId="77777777" w:rsidR="00DF4CC2" w:rsidRDefault="00DF4CC2">
            <w:pPr>
              <w:spacing w:after="0"/>
              <w:jc w:val="center"/>
              <w:rPr>
                <w:rFonts w:cs="Calibri"/>
                <w:b/>
                <w:bCs/>
                <w:sz w:val="20"/>
                <w:szCs w:val="20"/>
              </w:rPr>
            </w:pPr>
          </w:p>
          <w:p w14:paraId="256F20ED" w14:textId="77777777" w:rsidR="00DF4CC2" w:rsidRDefault="00DF4CC2">
            <w:pPr>
              <w:spacing w:after="0"/>
              <w:jc w:val="center"/>
              <w:rPr>
                <w:rFonts w:cs="Calibri"/>
                <w:b/>
                <w:bCs/>
                <w:sz w:val="20"/>
                <w:szCs w:val="20"/>
              </w:rPr>
            </w:pPr>
          </w:p>
          <w:p w14:paraId="256F20EE" w14:textId="77777777" w:rsidR="00DF4CC2" w:rsidRDefault="00DF4CC2">
            <w:pPr>
              <w:spacing w:after="0"/>
              <w:rPr>
                <w:rFonts w:cs="Calibri"/>
                <w:b/>
                <w:bCs/>
                <w:sz w:val="20"/>
                <w:szCs w:val="20"/>
              </w:rPr>
            </w:pPr>
          </w:p>
          <w:p w14:paraId="256F20EF" w14:textId="77777777" w:rsidR="00DF4CC2" w:rsidRDefault="00DF4CC2">
            <w:pPr>
              <w:spacing w:after="0"/>
              <w:jc w:val="center"/>
              <w:rPr>
                <w:rFonts w:cs="Calibri"/>
                <w:b/>
                <w:bCs/>
                <w:sz w:val="20"/>
                <w:szCs w:val="20"/>
              </w:rPr>
            </w:pPr>
          </w:p>
          <w:p w14:paraId="256F20F0" w14:textId="77777777" w:rsidR="00DF4CC2" w:rsidRDefault="00DF4CC2">
            <w:pPr>
              <w:spacing w:after="0"/>
              <w:jc w:val="center"/>
              <w:rPr>
                <w:rFonts w:cs="Calibri"/>
                <w:b/>
                <w:bCs/>
                <w:sz w:val="20"/>
                <w:szCs w:val="20"/>
              </w:rPr>
            </w:pPr>
          </w:p>
          <w:p w14:paraId="256F20F1" w14:textId="77777777" w:rsidR="00DF4CC2" w:rsidRDefault="00DF4CC2">
            <w:pPr>
              <w:spacing w:after="0"/>
              <w:jc w:val="center"/>
              <w:rPr>
                <w:rFonts w:cs="Calibri"/>
                <w:b/>
                <w:bCs/>
              </w:rPr>
            </w:pPr>
            <w:r>
              <w:rPr>
                <w:rFonts w:cs="Calibri"/>
                <w:b/>
                <w:bCs/>
              </w:rPr>
              <w:lastRenderedPageBreak/>
              <w:t xml:space="preserve"> Systèmes d'aide – financement</w:t>
            </w:r>
          </w:p>
          <w:p w14:paraId="256F20F2" w14:textId="77777777" w:rsidR="00DF4CC2" w:rsidRDefault="00DF4CC2">
            <w:pPr>
              <w:spacing w:after="0"/>
              <w:jc w:val="center"/>
              <w:rPr>
                <w:rFonts w:cs="Calibri"/>
                <w:b/>
                <w:bCs/>
              </w:rPr>
            </w:pPr>
          </w:p>
          <w:p w14:paraId="256F20F3" w14:textId="77777777" w:rsidR="00DF4CC2" w:rsidRDefault="00DF4CC2">
            <w:pPr>
              <w:spacing w:after="0"/>
              <w:jc w:val="center"/>
              <w:rPr>
                <w:rFonts w:cs="Calibri"/>
                <w:b/>
                <w:bCs/>
              </w:rPr>
            </w:pPr>
          </w:p>
          <w:p w14:paraId="256F20F4" w14:textId="77777777" w:rsidR="00DF4CC2" w:rsidRDefault="00DF4CC2">
            <w:pPr>
              <w:spacing w:after="0"/>
              <w:jc w:val="center"/>
              <w:rPr>
                <w:rFonts w:cs="Calibri"/>
                <w:b/>
                <w:bCs/>
              </w:rPr>
            </w:pPr>
          </w:p>
          <w:p w14:paraId="256F20F5" w14:textId="77777777" w:rsidR="00DF4CC2" w:rsidRDefault="00DF4CC2">
            <w:pPr>
              <w:spacing w:after="0"/>
              <w:jc w:val="center"/>
              <w:rPr>
                <w:rFonts w:cs="Calibri"/>
                <w:b/>
                <w:bCs/>
              </w:rPr>
            </w:pPr>
          </w:p>
          <w:p w14:paraId="256F20F6" w14:textId="77777777" w:rsidR="00DF4CC2" w:rsidRDefault="00DF4CC2">
            <w:pPr>
              <w:spacing w:after="0"/>
              <w:jc w:val="center"/>
              <w:rPr>
                <w:rFonts w:cs="Calibri"/>
                <w:b/>
                <w:bCs/>
              </w:rPr>
            </w:pPr>
          </w:p>
          <w:p w14:paraId="256F20F7" w14:textId="77777777" w:rsidR="00DF4CC2" w:rsidRDefault="00DF4CC2">
            <w:pPr>
              <w:spacing w:after="0"/>
              <w:jc w:val="center"/>
              <w:rPr>
                <w:rFonts w:cs="Calibri"/>
                <w:b/>
                <w:bCs/>
              </w:rPr>
            </w:pPr>
          </w:p>
          <w:p w14:paraId="256F20F8" w14:textId="77777777" w:rsidR="00DF4CC2" w:rsidRDefault="00DF4CC2">
            <w:pPr>
              <w:spacing w:after="0"/>
              <w:jc w:val="center"/>
              <w:rPr>
                <w:rFonts w:cs="Calibri"/>
                <w:b/>
                <w:bCs/>
              </w:rPr>
            </w:pPr>
          </w:p>
          <w:p w14:paraId="256F20F9" w14:textId="77777777" w:rsidR="00DF4CC2" w:rsidRDefault="00DF4CC2">
            <w:pPr>
              <w:spacing w:after="0"/>
              <w:jc w:val="center"/>
              <w:rPr>
                <w:rFonts w:cs="Calibri"/>
                <w:b/>
                <w:bCs/>
              </w:rPr>
            </w:pPr>
          </w:p>
          <w:p w14:paraId="256F20FA" w14:textId="77777777" w:rsidR="00DF4CC2" w:rsidRDefault="00DF4CC2">
            <w:pPr>
              <w:spacing w:after="0"/>
              <w:jc w:val="center"/>
              <w:rPr>
                <w:rFonts w:cs="Calibri"/>
                <w:b/>
                <w:bCs/>
              </w:rPr>
            </w:pPr>
          </w:p>
          <w:p w14:paraId="256F20FB" w14:textId="77777777" w:rsidR="00DF4CC2" w:rsidRDefault="00DF4CC2">
            <w:pPr>
              <w:spacing w:after="0"/>
              <w:jc w:val="center"/>
              <w:rPr>
                <w:rFonts w:cs="Calibri"/>
                <w:b/>
                <w:bCs/>
              </w:rPr>
            </w:pPr>
          </w:p>
          <w:p w14:paraId="256F20FC" w14:textId="77777777" w:rsidR="00DF4CC2" w:rsidRDefault="00DF4CC2">
            <w:pPr>
              <w:spacing w:after="0"/>
              <w:jc w:val="center"/>
              <w:rPr>
                <w:rFonts w:cs="Calibri"/>
                <w:b/>
                <w:bCs/>
              </w:rPr>
            </w:pPr>
          </w:p>
          <w:p w14:paraId="256F20FD" w14:textId="77777777" w:rsidR="00DF4CC2" w:rsidRDefault="00DF4CC2">
            <w:pPr>
              <w:spacing w:after="0"/>
              <w:jc w:val="center"/>
              <w:rPr>
                <w:rFonts w:cs="Calibri"/>
                <w:b/>
                <w:bCs/>
              </w:rPr>
            </w:pPr>
          </w:p>
          <w:p w14:paraId="256F20FE" w14:textId="77777777" w:rsidR="00DF4CC2" w:rsidRDefault="00DF4CC2">
            <w:pPr>
              <w:spacing w:after="0"/>
              <w:jc w:val="center"/>
              <w:rPr>
                <w:rFonts w:cs="Calibri"/>
                <w:b/>
                <w:bCs/>
              </w:rPr>
            </w:pPr>
          </w:p>
          <w:p w14:paraId="256F20FF" w14:textId="77777777" w:rsidR="00DF4CC2" w:rsidRDefault="00DF4CC2">
            <w:pPr>
              <w:spacing w:after="0"/>
              <w:jc w:val="center"/>
              <w:rPr>
                <w:rFonts w:cs="Calibri"/>
                <w:b/>
                <w:bCs/>
              </w:rPr>
            </w:pPr>
          </w:p>
          <w:p w14:paraId="256F2100" w14:textId="77777777" w:rsidR="00DF4CC2" w:rsidRDefault="00DF4CC2">
            <w:pPr>
              <w:spacing w:after="0"/>
              <w:jc w:val="center"/>
              <w:rPr>
                <w:rFonts w:cs="Calibri"/>
                <w:b/>
                <w:bCs/>
              </w:rPr>
            </w:pPr>
          </w:p>
          <w:p w14:paraId="256F2101" w14:textId="77777777" w:rsidR="00DF4CC2" w:rsidRDefault="00DF4CC2">
            <w:pPr>
              <w:spacing w:after="0"/>
              <w:jc w:val="center"/>
              <w:rPr>
                <w:rFonts w:cs="Calibri"/>
                <w:b/>
                <w:bCs/>
              </w:rPr>
            </w:pPr>
          </w:p>
          <w:p w14:paraId="256F2102" w14:textId="77777777" w:rsidR="00DF4CC2" w:rsidRDefault="00DF4CC2">
            <w:pPr>
              <w:spacing w:after="0"/>
              <w:jc w:val="center"/>
              <w:rPr>
                <w:rFonts w:cs="Calibri"/>
                <w:b/>
                <w:bCs/>
              </w:rPr>
            </w:pPr>
          </w:p>
          <w:p w14:paraId="256F2103" w14:textId="77777777" w:rsidR="00DF4CC2" w:rsidRDefault="00DF4CC2">
            <w:pPr>
              <w:spacing w:after="0"/>
              <w:jc w:val="center"/>
              <w:rPr>
                <w:rFonts w:cs="Calibri"/>
                <w:b/>
                <w:bCs/>
              </w:rPr>
            </w:pPr>
          </w:p>
          <w:p w14:paraId="256F2104" w14:textId="77777777" w:rsidR="00DF4CC2" w:rsidRDefault="00DF4CC2">
            <w:pPr>
              <w:spacing w:after="0"/>
              <w:jc w:val="center"/>
              <w:rPr>
                <w:rFonts w:cs="Calibri"/>
                <w:b/>
                <w:bCs/>
              </w:rPr>
            </w:pPr>
          </w:p>
          <w:p w14:paraId="256F2105" w14:textId="77777777" w:rsidR="00DF4CC2" w:rsidRDefault="00DF4CC2">
            <w:pPr>
              <w:spacing w:after="0"/>
              <w:jc w:val="center"/>
              <w:rPr>
                <w:rFonts w:cs="Calibri"/>
                <w:b/>
                <w:bCs/>
              </w:rPr>
            </w:pPr>
          </w:p>
          <w:p w14:paraId="256F2106" w14:textId="77777777" w:rsidR="00DF4CC2" w:rsidRDefault="00DF4CC2">
            <w:pPr>
              <w:spacing w:after="0"/>
              <w:jc w:val="center"/>
              <w:rPr>
                <w:rFonts w:cs="Calibri"/>
                <w:b/>
                <w:bCs/>
              </w:rPr>
            </w:pPr>
          </w:p>
          <w:p w14:paraId="256F2107" w14:textId="77777777" w:rsidR="00DF4CC2" w:rsidRDefault="00DF4CC2">
            <w:pPr>
              <w:spacing w:after="0"/>
              <w:jc w:val="center"/>
              <w:rPr>
                <w:rFonts w:cs="Calibri"/>
                <w:b/>
                <w:bCs/>
              </w:rPr>
            </w:pPr>
          </w:p>
          <w:p w14:paraId="256F2108" w14:textId="77777777" w:rsidR="00DF4CC2" w:rsidRDefault="00DF4CC2">
            <w:pPr>
              <w:spacing w:after="0"/>
              <w:jc w:val="center"/>
            </w:pPr>
            <w:r>
              <w:rPr>
                <w:rFonts w:cs="Calibri"/>
                <w:b/>
                <w:bCs/>
              </w:rPr>
              <w:t>Systèmes d'aide – financement</w:t>
            </w:r>
          </w:p>
          <w:p w14:paraId="256F2109" w14:textId="77777777" w:rsidR="00DF4CC2" w:rsidRDefault="00DF4CC2">
            <w:pPr>
              <w:spacing w:after="0"/>
              <w:jc w:val="center"/>
            </w:pPr>
          </w:p>
          <w:p w14:paraId="256F210A" w14:textId="77777777" w:rsidR="00DF4CC2" w:rsidRDefault="00DF4CC2">
            <w:pPr>
              <w:spacing w:after="0"/>
              <w:jc w:val="center"/>
              <w:rPr>
                <w:rFonts w:cs="Calibri"/>
                <w:sz w:val="20"/>
                <w:szCs w:val="20"/>
              </w:rPr>
            </w:pPr>
          </w:p>
        </w:tc>
        <w:tc>
          <w:tcPr>
            <w:tcW w:w="4250"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0B" w14:textId="76FCFD0A" w:rsidR="00DF4CC2" w:rsidRPr="00B34CF1" w:rsidRDefault="00DF4CC2" w:rsidP="00DF29D2">
            <w:pPr>
              <w:ind w:firstLine="220"/>
              <w:jc w:val="center"/>
              <w:rPr>
                <w:rFonts w:cs="Calibri"/>
              </w:rPr>
            </w:pPr>
            <w:r w:rsidRPr="00B34CF1">
              <w:rPr>
                <w:rFonts w:cs="Calibri"/>
              </w:rPr>
              <w:lastRenderedPageBreak/>
              <w:t>Le financement de stagiaires est-il éligible ?</w:t>
            </w:r>
          </w:p>
        </w:tc>
        <w:tc>
          <w:tcPr>
            <w:tcW w:w="9642"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0D" w14:textId="10776B5E" w:rsidR="00DF4CC2" w:rsidRPr="00B34CF1" w:rsidRDefault="00DF4CC2" w:rsidP="00330B11">
            <w:pPr>
              <w:rPr>
                <w:rFonts w:cs="Calibri"/>
              </w:rPr>
            </w:pPr>
            <w:r w:rsidRPr="00B34CF1">
              <w:rPr>
                <w:rFonts w:cs="Calibri"/>
              </w:rPr>
              <w:t>Les indemnités de stage sont éligibles dans le cadre du cursus universitaire des étudiants.</w:t>
            </w:r>
          </w:p>
        </w:tc>
      </w:tr>
      <w:tr w:rsidR="00A64FA2" w14:paraId="256F211B" w14:textId="77777777" w:rsidTr="00E61E41">
        <w:trPr>
          <w:trHeight w:val="70"/>
        </w:trPr>
        <w:tc>
          <w:tcPr>
            <w:tcW w:w="1418" w:type="dxa"/>
            <w:vMerge/>
            <w:tcMar>
              <w:top w:w="0" w:type="dxa"/>
              <w:left w:w="108" w:type="dxa"/>
              <w:bottom w:w="0" w:type="dxa"/>
              <w:right w:w="108" w:type="dxa"/>
            </w:tcMar>
            <w:vAlign w:val="center"/>
          </w:tcPr>
          <w:p w14:paraId="256F2113" w14:textId="77777777" w:rsidR="00A64FA2" w:rsidRDefault="00A64FA2">
            <w:pPr>
              <w:spacing w:after="0"/>
              <w:jc w:val="center"/>
              <w:rPr>
                <w:rFonts w:cs="Calibri"/>
                <w:b/>
                <w:bCs/>
                <w:sz w:val="20"/>
                <w:szCs w:val="20"/>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14" w14:textId="77777777" w:rsidR="00A64FA2" w:rsidRPr="00B34CF1" w:rsidRDefault="00B06B42">
            <w:pPr>
              <w:spacing w:after="0"/>
              <w:jc w:val="center"/>
              <w:rPr>
                <w:rFonts w:cs="Calibri"/>
              </w:rPr>
            </w:pPr>
            <w:r w:rsidRPr="00B34CF1">
              <w:rPr>
                <w:rFonts w:cs="Calibri"/>
              </w:rPr>
              <w:t>Le financement d’un salaire de thèse (partiel ou complet) peut-il entrer dans le cadre de cet appel à projet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15" w14:textId="77777777" w:rsidR="00A64FA2" w:rsidRPr="00B34CF1" w:rsidRDefault="59FE6E27">
            <w:r w:rsidRPr="00B34CF1">
              <w:rPr>
                <w:rFonts w:cs="Calibri"/>
              </w:rPr>
              <w:t xml:space="preserve">L’appel à projets de recherche TEES, compte tenu des montants et durée des projets financés, n’offre pas la possibilité de soutenir une thèse durant toute sa durée. Nous rappelons également que l'ADEME a une procédure d'appel à thèse ouverte chaque début d'année. </w:t>
            </w:r>
          </w:p>
          <w:p w14:paraId="256F2116" w14:textId="77777777" w:rsidR="00A64FA2" w:rsidRPr="00B34CF1" w:rsidRDefault="00B06B42">
            <w:pPr>
              <w:rPr>
                <w:rFonts w:cs="Calibri"/>
              </w:rPr>
            </w:pPr>
            <w:r w:rsidRPr="00B34CF1">
              <w:rPr>
                <w:rFonts w:cs="Calibri"/>
              </w:rPr>
              <w:lastRenderedPageBreak/>
              <w:t xml:space="preserve">Les coûts liés au financement d’une thèse sont bien éligibles, sous réserve qu’il ne s’agisse pas d’une thèse financée par l’ADEME. La demande d'inclusion d'une thèse dans le projet sera à argumenter par rapport à un autre type de CDD. </w:t>
            </w:r>
          </w:p>
          <w:p w14:paraId="256F2117" w14:textId="77777777" w:rsidR="00A64FA2" w:rsidRPr="00B34CF1" w:rsidRDefault="59FE6E27">
            <w:r w:rsidRPr="00B34CF1">
              <w:rPr>
                <w:rFonts w:cs="Calibri"/>
              </w:rPr>
              <w:t>Cas particulier d’une thèse co-financée :</w:t>
            </w:r>
          </w:p>
          <w:p w14:paraId="256F2118" w14:textId="77777777" w:rsidR="00A64FA2" w:rsidRPr="00B34CF1" w:rsidRDefault="00B06B42">
            <w:pPr>
              <w:rPr>
                <w:rFonts w:cs="Calibri"/>
              </w:rPr>
            </w:pPr>
            <w:r w:rsidRPr="00B34CF1">
              <w:rPr>
                <w:rFonts w:cs="Calibri"/>
              </w:rPr>
              <w:t>Seules les dépenses liées au salaire du doctorant qui ne sont pas déjà subventionnées sont éligibles. Le montant total de son salaire doit cependant apparaître dans le coût total de l’opération.</w:t>
            </w:r>
          </w:p>
          <w:p w14:paraId="256F2119" w14:textId="77777777" w:rsidR="00A64FA2" w:rsidRPr="00B34CF1" w:rsidRDefault="00B06B42">
            <w:pPr>
              <w:rPr>
                <w:rFonts w:cs="Calibri"/>
              </w:rPr>
            </w:pPr>
            <w:r w:rsidRPr="00B34CF1">
              <w:rPr>
                <w:rFonts w:cs="Calibri"/>
              </w:rPr>
              <w:t>Dans l’hypothèse où le doctorant ne serait pas affecté à 100% au projet finançable par l’ADEME, les dépenses liées à son salaire seraient proratisées en fonction du temps passé.</w:t>
            </w:r>
          </w:p>
          <w:p w14:paraId="256F211A" w14:textId="77777777" w:rsidR="00A64FA2" w:rsidRPr="00B34CF1" w:rsidRDefault="00B06B42">
            <w:r w:rsidRPr="00B34CF1">
              <w:rPr>
                <w:rFonts w:cs="Calibri"/>
              </w:rPr>
              <w:t>Le co-financement doit apparaître dans le plan de financement au niveau des financements publics ou privé selon les cas.</w:t>
            </w:r>
          </w:p>
        </w:tc>
      </w:tr>
      <w:tr w:rsidR="00A64FA2" w14:paraId="256F2122" w14:textId="77777777" w:rsidTr="00E61E41">
        <w:trPr>
          <w:trHeight w:val="300"/>
        </w:trPr>
        <w:tc>
          <w:tcPr>
            <w:tcW w:w="1418" w:type="dxa"/>
            <w:vMerge/>
            <w:tcMar>
              <w:top w:w="0" w:type="dxa"/>
              <w:left w:w="108" w:type="dxa"/>
              <w:bottom w:w="0" w:type="dxa"/>
              <w:right w:w="108" w:type="dxa"/>
            </w:tcMar>
            <w:vAlign w:val="center"/>
          </w:tcPr>
          <w:p w14:paraId="256F211C" w14:textId="77777777" w:rsidR="00A64FA2" w:rsidRDefault="00A64FA2">
            <w:pPr>
              <w:spacing w:after="0"/>
              <w:jc w:val="center"/>
              <w:rPr>
                <w:rFonts w:cs="Calibri"/>
                <w:b/>
                <w:bCs/>
                <w:sz w:val="20"/>
                <w:szCs w:val="20"/>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1D" w14:textId="31202D5C" w:rsidR="00A64FA2" w:rsidRDefault="59FE6E27">
            <w:pPr>
              <w:spacing w:after="0"/>
              <w:jc w:val="center"/>
            </w:pPr>
            <w:r w:rsidRPr="00B34CF1">
              <w:rPr>
                <w:rFonts w:cs="Calibri"/>
              </w:rPr>
              <w:t>Le financement d’un salaire de thèse CIFRE auprès de l’un des partenaires du projet</w:t>
            </w:r>
            <w:r w:rsidR="45A1E5E9" w:rsidRPr="00B34CF1">
              <w:rPr>
                <w:rFonts w:cs="Calibri"/>
              </w:rPr>
              <w:t xml:space="preserve"> </w:t>
            </w:r>
            <w:r w:rsidRPr="00B34CF1">
              <w:rPr>
                <w:rFonts w:cs="Calibri"/>
              </w:rPr>
              <w:t>peut-il entrer dans le cadre de cet appel à projet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1E" w14:textId="77777777" w:rsidR="00A64FA2" w:rsidRDefault="00B06B42">
            <w:pPr>
              <w:rPr>
                <w:rFonts w:cs="Calibri"/>
              </w:rPr>
            </w:pPr>
            <w:r>
              <w:rPr>
                <w:rFonts w:cs="Calibri"/>
              </w:rPr>
              <w:t xml:space="preserve">L’appel à projets de recherche TEES, compte tenu des montants et durée des projets financés, n’offre pas la possibilité de soutenir une thèse durant toute sa durée. Nous rappelons également que l'ADEME a une procédure d'appel à thèse ouverte chaque début d'année. </w:t>
            </w:r>
          </w:p>
          <w:p w14:paraId="256F211F" w14:textId="77777777" w:rsidR="00A64FA2" w:rsidRDefault="00B06B42">
            <w:pPr>
              <w:spacing w:after="0"/>
              <w:rPr>
                <w:rFonts w:cs="Calibri"/>
              </w:rPr>
            </w:pPr>
            <w:r>
              <w:rPr>
                <w:rFonts w:cs="Calibri"/>
              </w:rPr>
              <w:t>Un doctorant CIFRE peut participer à un projet finançable par l’ADEME si et seulement si le projet entre dans le périmètre des travaux de recherche du salarié-doctorant. Dans ce cas, seules les dépenses liées à son salaire qui ne sont pas déjà subventionnées via le dispositif CIFRE sont éligibles. Mais le montant de son salaire doit apparaître dans le coût total de l’opération. Dans l’hypothèse où le doctorant ne serait pas affecté à 100% au projet finançable par l’ADEME, les dépenses liées à son salaire seraient proratisées en fonction du temps passé.</w:t>
            </w:r>
          </w:p>
          <w:p w14:paraId="256F2120" w14:textId="77777777" w:rsidR="00A64FA2" w:rsidRDefault="00B06B42">
            <w:pPr>
              <w:spacing w:after="0"/>
            </w:pPr>
            <w:r>
              <w:rPr>
                <w:rFonts w:cs="Calibri"/>
              </w:rPr>
              <w:t>L’aide apportée par l’ANRT est une aide d’Etat, qui doit apparaître dans le plan de financement au niveau des financements publics. Si le projet aidé relève d’une activité économique, le cumul des aides d’Etat ne doit pas dépasser l’intensité d’aide maximum prévue par la réglementation communautaire la plus favorable applicable sur l’assiette des dépenses communes.</w:t>
            </w:r>
          </w:p>
          <w:p w14:paraId="256F2121" w14:textId="77777777" w:rsidR="00A64FA2" w:rsidRDefault="00A64FA2">
            <w:pPr>
              <w:spacing w:after="0"/>
              <w:rPr>
                <w:rFonts w:cs="Calibri"/>
              </w:rPr>
            </w:pPr>
          </w:p>
        </w:tc>
      </w:tr>
      <w:tr w:rsidR="00A64FA2" w14:paraId="256F212B" w14:textId="77777777" w:rsidTr="00E61E41">
        <w:trPr>
          <w:trHeight w:val="300"/>
        </w:trPr>
        <w:tc>
          <w:tcPr>
            <w:tcW w:w="1418" w:type="dxa"/>
            <w:vMerge/>
            <w:tcMar>
              <w:top w:w="0" w:type="dxa"/>
              <w:left w:w="108" w:type="dxa"/>
              <w:bottom w:w="0" w:type="dxa"/>
              <w:right w:w="108" w:type="dxa"/>
            </w:tcMar>
            <w:vAlign w:val="center"/>
          </w:tcPr>
          <w:p w14:paraId="256F2123" w14:textId="77777777" w:rsidR="00A64FA2" w:rsidRDefault="00A64FA2">
            <w:pPr>
              <w:spacing w:after="0"/>
              <w:jc w:val="center"/>
              <w:rPr>
                <w:rFonts w:cs="Calibri"/>
                <w:b/>
                <w:bCs/>
                <w:sz w:val="20"/>
                <w:szCs w:val="20"/>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24" w14:textId="77777777" w:rsidR="00A64FA2" w:rsidRDefault="00B06B42">
            <w:pPr>
              <w:spacing w:after="0"/>
              <w:jc w:val="center"/>
              <w:rPr>
                <w:rFonts w:cs="Calibri"/>
              </w:rPr>
            </w:pPr>
            <w:r>
              <w:rPr>
                <w:rFonts w:cs="Calibri"/>
              </w:rPr>
              <w:t>Est-il possible pour un partenaire de sous-traiter avec des tiers ? Si oui, dans quelles conditions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7A790B" w14:textId="6FB15ADF" w:rsidR="003B161B" w:rsidRPr="000B1A60" w:rsidRDefault="00B06B42">
            <w:pPr>
              <w:rPr>
                <w:rFonts w:cs="Calibri"/>
              </w:rPr>
            </w:pPr>
            <w:r w:rsidRPr="000B1A60">
              <w:rPr>
                <w:rFonts w:cs="Calibri"/>
              </w:rPr>
              <w:t xml:space="preserve">Oui, </w:t>
            </w:r>
            <w:r w:rsidR="003B161B" w:rsidRPr="000B1A60">
              <w:rPr>
                <w:rFonts w:cs="Calibri"/>
              </w:rPr>
              <w:t xml:space="preserve">il est possible de </w:t>
            </w:r>
            <w:r w:rsidR="00453417" w:rsidRPr="000B1A60">
              <w:rPr>
                <w:rFonts w:cs="Calibri"/>
              </w:rPr>
              <w:t>sous-traiter.</w:t>
            </w:r>
          </w:p>
          <w:p w14:paraId="304B0C58" w14:textId="77777777" w:rsidR="00CD0681" w:rsidRPr="000B1A60" w:rsidRDefault="00CD0681" w:rsidP="00CD0681">
            <w:pPr>
              <w:rPr>
                <w:rFonts w:cs="Calibri"/>
                <w:rPrChange w:id="0" w:author="THIRIOT Sarah" w:date="2024-04-25T10:15:00Z">
                  <w:rPr>
                    <w:rFonts w:cs="Calibri"/>
                    <w:color w:val="FF0000"/>
                  </w:rPr>
                </w:rPrChange>
              </w:rPr>
            </w:pPr>
            <w:r w:rsidRPr="000B1A60">
              <w:rPr>
                <w:rPrChange w:id="1" w:author="THIRIOT Sarah" w:date="2024-04-25T10:15:00Z">
                  <w:rPr>
                    <w:color w:val="FF0000"/>
                  </w:rPr>
                </w:rPrChange>
              </w:rPr>
              <w:t>Les sous-traitants ne sont pas des partenaires, ils doivent cependant être cités et leur contribution décrite dans le volet technique en phase 2, afin de permettre l’expertise scientifique et technique du projet</w:t>
            </w:r>
          </w:p>
          <w:p w14:paraId="256F2125" w14:textId="7508E422" w:rsidR="00A64FA2" w:rsidRPr="000B1A60" w:rsidRDefault="00B06B42">
            <w:pPr>
              <w:rPr>
                <w:rFonts w:cs="Calibri"/>
              </w:rPr>
            </w:pPr>
            <w:proofErr w:type="gramStart"/>
            <w:r w:rsidRPr="000B1A60">
              <w:rPr>
                <w:rFonts w:cs="Calibri"/>
              </w:rPr>
              <w:lastRenderedPageBreak/>
              <w:t>il</w:t>
            </w:r>
            <w:proofErr w:type="gramEnd"/>
            <w:r w:rsidRPr="000B1A60">
              <w:rPr>
                <w:rFonts w:cs="Calibri"/>
              </w:rPr>
              <w:t xml:space="preserve"> faudra bien détailler dans </w:t>
            </w:r>
            <w:r w:rsidR="00453417" w:rsidRPr="000B1A60">
              <w:rPr>
                <w:rFonts w:cs="Calibri"/>
              </w:rPr>
              <w:t>c</w:t>
            </w:r>
            <w:r w:rsidRPr="000B1A60">
              <w:rPr>
                <w:rFonts w:cs="Calibri"/>
              </w:rPr>
              <w:t>e volet technique les différentes tâches des acteurs (partenaires et sous-traitants).</w:t>
            </w:r>
          </w:p>
          <w:p w14:paraId="256F2126" w14:textId="77777777" w:rsidR="00A64FA2" w:rsidRPr="000B1A60" w:rsidRDefault="00B06B42">
            <w:pPr>
              <w:rPr>
                <w:rFonts w:cs="Calibri"/>
              </w:rPr>
            </w:pPr>
            <w:r w:rsidRPr="000B1A60">
              <w:rPr>
                <w:rFonts w:cs="Calibri"/>
              </w:rPr>
              <w:t>Cependant si l’ampleur de la sous-traitance est vraiment importante, bien justifier le choix des partenaires et sous-traitance(s) associée(s) :</w:t>
            </w:r>
          </w:p>
          <w:p w14:paraId="256F2127" w14:textId="77777777" w:rsidR="00A64FA2" w:rsidRPr="000B1A60" w:rsidRDefault="00B06B42">
            <w:pPr>
              <w:pStyle w:val="Paragraphedeliste"/>
              <w:numPr>
                <w:ilvl w:val="0"/>
                <w:numId w:val="4"/>
              </w:numPr>
              <w:suppressAutoHyphens w:val="0"/>
              <w:spacing w:after="0"/>
              <w:contextualSpacing w:val="0"/>
              <w:rPr>
                <w:rFonts w:cs="Calibri"/>
              </w:rPr>
            </w:pPr>
            <w:r w:rsidRPr="000B1A60">
              <w:rPr>
                <w:rFonts w:cs="Calibri"/>
              </w:rPr>
              <w:t>Un partenaire dont les coûts représentent moins de 10% des coûts totaux pourrait être repositionné en sous-traitant.</w:t>
            </w:r>
          </w:p>
          <w:p w14:paraId="256F2128" w14:textId="77777777" w:rsidR="00A64FA2" w:rsidRPr="000B1A60" w:rsidRDefault="00B06B42">
            <w:pPr>
              <w:pStyle w:val="Paragraphedeliste"/>
              <w:numPr>
                <w:ilvl w:val="0"/>
                <w:numId w:val="4"/>
              </w:numPr>
              <w:suppressAutoHyphens w:val="0"/>
              <w:spacing w:after="0"/>
              <w:contextualSpacing w:val="0"/>
              <w:rPr>
                <w:rFonts w:cs="Calibri"/>
              </w:rPr>
            </w:pPr>
            <w:r w:rsidRPr="000B1A60">
              <w:rPr>
                <w:rFonts w:cs="Calibri"/>
              </w:rPr>
              <w:t>Un sous-traitant qui porterait plus de 20% des coûts du projet pourrait être repositionné en partenaire.</w:t>
            </w:r>
          </w:p>
          <w:p w14:paraId="256F2129" w14:textId="77777777" w:rsidR="00A64FA2" w:rsidRPr="000B1A60" w:rsidRDefault="00B06B42">
            <w:pPr>
              <w:pStyle w:val="Paragraphedeliste"/>
              <w:numPr>
                <w:ilvl w:val="0"/>
                <w:numId w:val="4"/>
              </w:numPr>
              <w:spacing w:after="0"/>
              <w:rPr>
                <w:rFonts w:cs="Calibri"/>
              </w:rPr>
            </w:pPr>
            <w:r w:rsidRPr="000B1A60">
              <w:rPr>
                <w:rFonts w:cs="Calibri"/>
              </w:rPr>
              <w:t>Un partenaire dont plus de 50% de ses coûts sont de la sous-traitance pourrait être repositionné en sous-traitant lui-même.</w:t>
            </w:r>
          </w:p>
          <w:p w14:paraId="256F212A" w14:textId="77777777" w:rsidR="00A64FA2" w:rsidRPr="000B1A60" w:rsidRDefault="00A64FA2">
            <w:pPr>
              <w:spacing w:after="0"/>
              <w:rPr>
                <w:rFonts w:cs="Calibri"/>
              </w:rPr>
            </w:pPr>
          </w:p>
        </w:tc>
      </w:tr>
      <w:tr w:rsidR="00A64FA2" w14:paraId="256F2138" w14:textId="77777777" w:rsidTr="00E61E41">
        <w:trPr>
          <w:trHeight w:val="300"/>
        </w:trPr>
        <w:tc>
          <w:tcPr>
            <w:tcW w:w="1418" w:type="dxa"/>
            <w:vMerge/>
            <w:tcMar>
              <w:top w:w="0" w:type="dxa"/>
              <w:left w:w="108" w:type="dxa"/>
              <w:bottom w:w="0" w:type="dxa"/>
              <w:right w:w="108" w:type="dxa"/>
            </w:tcMar>
            <w:vAlign w:val="center"/>
          </w:tcPr>
          <w:p w14:paraId="256F2133" w14:textId="77777777" w:rsidR="00A64FA2" w:rsidRDefault="00A64FA2">
            <w:pPr>
              <w:spacing w:after="0"/>
              <w:jc w:val="center"/>
              <w:rPr>
                <w:rFonts w:cs="Calibri"/>
                <w:b/>
                <w:bCs/>
                <w:sz w:val="20"/>
                <w:szCs w:val="20"/>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34" w14:textId="77777777" w:rsidR="00A64FA2" w:rsidRPr="00DF4CC2" w:rsidRDefault="00B06B42">
            <w:pPr>
              <w:suppressAutoHyphens w:val="0"/>
              <w:ind w:firstLine="220"/>
              <w:jc w:val="center"/>
              <w:rPr>
                <w:rFonts w:cs="Calibri"/>
              </w:rPr>
            </w:pPr>
            <w:r w:rsidRPr="00DF4CC2">
              <w:rPr>
                <w:rFonts w:cs="Calibri"/>
              </w:rPr>
              <w:t>Y a-t-il un montant minimum de financement ?</w:t>
            </w:r>
          </w:p>
          <w:p w14:paraId="256F2135" w14:textId="77777777" w:rsidR="00A64FA2" w:rsidRPr="00DF4CC2" w:rsidRDefault="00A64FA2">
            <w:pPr>
              <w:tabs>
                <w:tab w:val="left" w:pos="875"/>
              </w:tabs>
              <w:spacing w:after="0"/>
              <w:jc w:val="center"/>
              <w:rPr>
                <w:rFonts w:cs="Calibri"/>
              </w:rPr>
            </w:pP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36" w14:textId="4C0953F8" w:rsidR="00A64FA2" w:rsidRPr="00DF4CC2" w:rsidRDefault="59FE6E27">
            <w:pPr>
              <w:suppressAutoHyphens w:val="0"/>
              <w:ind w:firstLine="220"/>
              <w:rPr>
                <w:rFonts w:cs="Calibri"/>
              </w:rPr>
            </w:pPr>
            <w:r w:rsidRPr="00DF4CC2">
              <w:rPr>
                <w:rFonts w:cs="Calibri"/>
              </w:rPr>
              <w:t>Le montant minimum d’aide est de 50.000 €</w:t>
            </w:r>
            <w:r w:rsidR="5B9CA737" w:rsidRPr="00DF4CC2">
              <w:rPr>
                <w:rFonts w:cs="Calibri"/>
              </w:rPr>
              <w:t xml:space="preserve"> par projet</w:t>
            </w:r>
            <w:r w:rsidRPr="00DF4CC2">
              <w:rPr>
                <w:rFonts w:cs="Calibri"/>
              </w:rPr>
              <w:t>.</w:t>
            </w:r>
          </w:p>
          <w:p w14:paraId="256F2137" w14:textId="77777777" w:rsidR="00A64FA2" w:rsidRPr="00DF4CC2" w:rsidRDefault="00A64FA2">
            <w:pPr>
              <w:spacing w:after="0"/>
              <w:rPr>
                <w:rFonts w:cs="Calibri"/>
              </w:rPr>
            </w:pPr>
          </w:p>
        </w:tc>
      </w:tr>
      <w:tr w:rsidR="00A64FA2" w14:paraId="256F213F" w14:textId="77777777" w:rsidTr="00E61E41">
        <w:trPr>
          <w:trHeight w:val="300"/>
        </w:trPr>
        <w:tc>
          <w:tcPr>
            <w:tcW w:w="1418" w:type="dxa"/>
            <w:vMerge/>
            <w:tcMar>
              <w:top w:w="0" w:type="dxa"/>
              <w:left w:w="108" w:type="dxa"/>
              <w:bottom w:w="0" w:type="dxa"/>
              <w:right w:w="108" w:type="dxa"/>
            </w:tcMar>
            <w:vAlign w:val="center"/>
          </w:tcPr>
          <w:p w14:paraId="256F2139" w14:textId="77777777" w:rsidR="00A64FA2" w:rsidRDefault="00A64FA2">
            <w:pPr>
              <w:spacing w:after="0"/>
              <w:jc w:val="cente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3A" w14:textId="77777777" w:rsidR="00A64FA2" w:rsidRPr="00DF4CC2" w:rsidRDefault="00B06B42">
            <w:pPr>
              <w:tabs>
                <w:tab w:val="left" w:pos="875"/>
              </w:tabs>
              <w:spacing w:after="0"/>
              <w:jc w:val="center"/>
              <w:rPr>
                <w:rFonts w:cs="Calibri"/>
              </w:rPr>
            </w:pPr>
            <w:r w:rsidRPr="00DF4CC2">
              <w:rPr>
                <w:rFonts w:cs="Calibri"/>
              </w:rPr>
              <w:t>Quelles sont les modalités de versement de l’aide par l’ADEME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2E47A9" w14:textId="73092030" w:rsidR="00BB4C89" w:rsidRPr="00DF4CC2" w:rsidRDefault="00BB4C89" w:rsidP="00EC6217">
            <w:pPr>
              <w:tabs>
                <w:tab w:val="left" w:pos="5393"/>
              </w:tabs>
              <w:rPr>
                <w:rFonts w:cs="Calibri"/>
              </w:rPr>
            </w:pPr>
            <w:r w:rsidRPr="00DF4CC2">
              <w:rPr>
                <w:rFonts w:cs="Calibri"/>
              </w:rPr>
              <w:t xml:space="preserve">Les aides sont versées directement aux différents partenaires, et non au porteur de projet seul. </w:t>
            </w:r>
          </w:p>
          <w:p w14:paraId="256F213B" w14:textId="73092030" w:rsidR="00A64FA2" w:rsidRPr="00DF4CC2" w:rsidRDefault="59FE6E27" w:rsidP="00EC6217">
            <w:pPr>
              <w:tabs>
                <w:tab w:val="left" w:pos="5393"/>
              </w:tabs>
              <w:rPr>
                <w:rFonts w:cs="Calibri"/>
              </w:rPr>
            </w:pPr>
            <w:r w:rsidRPr="00DF4CC2">
              <w:rPr>
                <w:rFonts w:cs="Calibri"/>
              </w:rPr>
              <w:t>Elles sont précisées dans chaque contrat de financement.</w:t>
            </w:r>
          </w:p>
          <w:p w14:paraId="256F213C" w14:textId="77777777" w:rsidR="00A64FA2" w:rsidRPr="00DF4CC2" w:rsidRDefault="00B06B42" w:rsidP="00EC6217">
            <w:pPr>
              <w:tabs>
                <w:tab w:val="left" w:pos="5393"/>
              </w:tabs>
              <w:rPr>
                <w:rFonts w:cs="Calibri"/>
              </w:rPr>
            </w:pPr>
            <w:r w:rsidRPr="00DF4CC2">
              <w:rPr>
                <w:rFonts w:cs="Calibri"/>
              </w:rPr>
              <w:t>Suivant le type de partenaire et la durée du projet, une avance peut être versée en début de projet.</w:t>
            </w:r>
          </w:p>
          <w:p w14:paraId="256F213D" w14:textId="77777777" w:rsidR="00A64FA2" w:rsidRPr="00DF4CC2" w:rsidRDefault="00B06B42" w:rsidP="00EC6217">
            <w:pPr>
              <w:tabs>
                <w:tab w:val="left" w:pos="5393"/>
              </w:tabs>
              <w:rPr>
                <w:rFonts w:cs="Calibri"/>
              </w:rPr>
            </w:pPr>
            <w:r w:rsidRPr="00DF4CC2">
              <w:rPr>
                <w:rFonts w:cs="Calibri"/>
              </w:rPr>
              <w:t>Les versements se composent ensuite d’un ou plusieurs paiements intermédiaires puis d’un solde, soumis à résultats en accord avec le programme de travail et aux réunions de suivi du projet avec l’ADEME. Les versements se font sur la base des dépenses réalisées sur justificatif.</w:t>
            </w:r>
          </w:p>
          <w:p w14:paraId="256F213E" w14:textId="77777777" w:rsidR="00A64FA2" w:rsidRPr="00EC6217" w:rsidRDefault="59FE6E27" w:rsidP="00EC6217">
            <w:pPr>
              <w:tabs>
                <w:tab w:val="left" w:pos="5393"/>
              </w:tabs>
              <w:rPr>
                <w:rFonts w:cs="Calibri"/>
              </w:rPr>
            </w:pPr>
            <w:r w:rsidRPr="00DF4CC2">
              <w:rPr>
                <w:rFonts w:cs="Calibri"/>
              </w:rPr>
              <w:t xml:space="preserve">Voir les </w:t>
            </w:r>
            <w:r w:rsidRPr="00EC6217">
              <w:rPr>
                <w:rFonts w:cs="Calibri"/>
              </w:rPr>
              <w:t>règles générales en vigueur</w:t>
            </w:r>
            <w:r w:rsidRPr="00DF4CC2">
              <w:rPr>
                <w:rFonts w:cs="Calibri"/>
              </w:rPr>
              <w:t>.</w:t>
            </w:r>
          </w:p>
        </w:tc>
      </w:tr>
      <w:tr w:rsidR="00A64FA2" w14:paraId="256F2144" w14:textId="77777777" w:rsidTr="00E61E41">
        <w:trPr>
          <w:trHeight w:val="300"/>
        </w:trPr>
        <w:tc>
          <w:tcPr>
            <w:tcW w:w="1418" w:type="dxa"/>
            <w:vMerge/>
            <w:tcMar>
              <w:top w:w="0" w:type="dxa"/>
              <w:left w:w="108" w:type="dxa"/>
              <w:bottom w:w="0" w:type="dxa"/>
              <w:right w:w="108" w:type="dxa"/>
            </w:tcMar>
            <w:vAlign w:val="center"/>
          </w:tcPr>
          <w:p w14:paraId="256F2140" w14:textId="77777777" w:rsidR="00A64FA2" w:rsidRDefault="00A64FA2">
            <w:pPr>
              <w:spacing w:after="0"/>
              <w:jc w:val="cente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41" w14:textId="77777777" w:rsidR="00A64FA2" w:rsidRDefault="00B06B42">
            <w:pPr>
              <w:suppressAutoHyphens w:val="0"/>
              <w:ind w:firstLine="220"/>
              <w:jc w:val="center"/>
              <w:rPr>
                <w:rFonts w:cs="Calibri"/>
              </w:rPr>
            </w:pPr>
            <w:r>
              <w:rPr>
                <w:rFonts w:cs="Calibri"/>
              </w:rPr>
              <w:t>Est-il possible de financer l'acquisition d'équipements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42" w14:textId="77777777" w:rsidR="00A64FA2" w:rsidRDefault="00B06B42" w:rsidP="00EC6217">
            <w:pPr>
              <w:tabs>
                <w:tab w:val="left" w:pos="5393"/>
              </w:tabs>
              <w:rPr>
                <w:rFonts w:cs="Calibri"/>
              </w:rPr>
            </w:pPr>
            <w:r>
              <w:rPr>
                <w:rFonts w:cs="Calibri"/>
              </w:rPr>
              <w:t>Oui il est possible de financer l'acquisition d'équipements.</w:t>
            </w:r>
          </w:p>
          <w:p w14:paraId="256F2143" w14:textId="77777777" w:rsidR="00A64FA2" w:rsidRDefault="00A64FA2" w:rsidP="00EC6217">
            <w:pPr>
              <w:tabs>
                <w:tab w:val="left" w:pos="5393"/>
              </w:tabs>
              <w:spacing w:after="0"/>
              <w:rPr>
                <w:rFonts w:cs="Calibri"/>
              </w:rPr>
            </w:pPr>
          </w:p>
        </w:tc>
      </w:tr>
      <w:tr w:rsidR="00A64FA2" w14:paraId="256F2148" w14:textId="77777777" w:rsidTr="00E61E41">
        <w:trPr>
          <w:trHeight w:val="1936"/>
        </w:trPr>
        <w:tc>
          <w:tcPr>
            <w:tcW w:w="1418" w:type="dxa"/>
            <w:vMerge/>
            <w:tcMar>
              <w:top w:w="0" w:type="dxa"/>
              <w:left w:w="108" w:type="dxa"/>
              <w:bottom w:w="0" w:type="dxa"/>
              <w:right w:w="108" w:type="dxa"/>
            </w:tcMar>
            <w:vAlign w:val="center"/>
          </w:tcPr>
          <w:p w14:paraId="256F2145" w14:textId="77777777" w:rsidR="00A64FA2" w:rsidRDefault="00A64FA2">
            <w:pPr>
              <w:spacing w:after="0"/>
              <w:jc w:val="center"/>
              <w:rPr>
                <w:rFonts w:cs="Calibri"/>
                <w:b/>
                <w:bCs/>
                <w:sz w:val="20"/>
                <w:szCs w:val="20"/>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46" w14:textId="77777777" w:rsidR="00A64FA2" w:rsidRDefault="59FE6E27" w:rsidP="672F9676">
            <w:pPr>
              <w:tabs>
                <w:tab w:val="left" w:pos="875"/>
              </w:tabs>
              <w:spacing w:after="0"/>
              <w:jc w:val="center"/>
              <w:rPr>
                <w:rFonts w:cs="Calibri"/>
              </w:rPr>
            </w:pPr>
            <w:r w:rsidRPr="672F9676">
              <w:rPr>
                <w:rFonts w:cs="Calibri"/>
              </w:rPr>
              <w:t>Les coûts liés aux personnels statutaires de la fonction publique doivent-ils apparaître dans les dépenses directes de l’opération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47" w14:textId="77777777" w:rsidR="00A64FA2" w:rsidRDefault="00B06B42">
            <w:pPr>
              <w:tabs>
                <w:tab w:val="left" w:pos="5393"/>
              </w:tabs>
            </w:pPr>
            <w:r w:rsidRPr="00DF4CC2">
              <w:rPr>
                <w:rFonts w:cs="Calibri"/>
              </w:rPr>
              <w:t>Les dépenses de personnel statutaires de la fonction publique ne sont pas éligibles mais doivent apparaître dans le coût total de l’opération</w:t>
            </w:r>
          </w:p>
        </w:tc>
      </w:tr>
      <w:tr w:rsidR="00A64FA2" w14:paraId="256F214C" w14:textId="77777777" w:rsidTr="00E61E41">
        <w:trPr>
          <w:trHeight w:val="1936"/>
        </w:trPr>
        <w:tc>
          <w:tcPr>
            <w:tcW w:w="1418" w:type="dxa"/>
            <w:vMerge/>
            <w:tcMar>
              <w:top w:w="0" w:type="dxa"/>
              <w:left w:w="108" w:type="dxa"/>
              <w:bottom w:w="0" w:type="dxa"/>
              <w:right w:w="108" w:type="dxa"/>
            </w:tcMar>
            <w:vAlign w:val="center"/>
          </w:tcPr>
          <w:p w14:paraId="256F2149" w14:textId="77777777" w:rsidR="00A64FA2" w:rsidRDefault="00A64FA2">
            <w:pPr>
              <w:spacing w:after="0"/>
              <w:jc w:val="center"/>
              <w:rPr>
                <w:rFonts w:cs="Calibri"/>
                <w:b/>
                <w:bCs/>
                <w:sz w:val="20"/>
                <w:szCs w:val="20"/>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4A" w14:textId="77777777" w:rsidR="00A64FA2" w:rsidRDefault="59FE6E27" w:rsidP="672F9676">
            <w:pPr>
              <w:tabs>
                <w:tab w:val="left" w:pos="875"/>
              </w:tabs>
              <w:spacing w:after="0"/>
              <w:rPr>
                <w:rFonts w:cs="Calibri"/>
              </w:rPr>
            </w:pPr>
            <w:r w:rsidRPr="672F9676">
              <w:rPr>
                <w:rFonts w:cs="Calibri"/>
              </w:rPr>
              <w:t>Le montant d’aide ADEME sera-t-il calculé à partir des dépenses totales ou des dépenses éligibles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B52BBF" w14:textId="77777777" w:rsidR="000262D6" w:rsidRPr="00B34CF1" w:rsidRDefault="00B06B42">
            <w:pPr>
              <w:tabs>
                <w:tab w:val="left" w:pos="5393"/>
              </w:tabs>
              <w:rPr>
                <w:rFonts w:cs="Calibri"/>
              </w:rPr>
            </w:pPr>
            <w:r w:rsidRPr="00B34CF1">
              <w:rPr>
                <w:rFonts w:cs="Calibri"/>
              </w:rPr>
              <w:t>Le montant d’aide sera calculé à partir des dépenses éligibles.</w:t>
            </w:r>
            <w:r w:rsidR="000262D6" w:rsidRPr="00B34CF1">
              <w:rPr>
                <w:rFonts w:cs="Calibri"/>
              </w:rPr>
              <w:t xml:space="preserve">  </w:t>
            </w:r>
          </w:p>
          <w:p w14:paraId="256F214B" w14:textId="2E189FBF" w:rsidR="00A64FA2" w:rsidRPr="00B34CF1" w:rsidRDefault="000262D6">
            <w:pPr>
              <w:tabs>
                <w:tab w:val="left" w:pos="5393"/>
              </w:tabs>
              <w:rPr>
                <w:rFonts w:cs="Calibri"/>
              </w:rPr>
            </w:pPr>
            <w:r w:rsidRPr="00B34CF1">
              <w:rPr>
                <w:rFonts w:cs="Calibri"/>
              </w:rPr>
              <w:t>Les charges connexes sont calculées non pas sur les dépenses éligibles mais sur les dépenses totales</w:t>
            </w:r>
          </w:p>
        </w:tc>
      </w:tr>
      <w:tr w:rsidR="00A64FA2" w14:paraId="256F2150" w14:textId="77777777" w:rsidTr="00E61E41">
        <w:trPr>
          <w:trHeight w:val="1936"/>
        </w:trPr>
        <w:tc>
          <w:tcPr>
            <w:tcW w:w="1418" w:type="dxa"/>
            <w:vMerge/>
            <w:tcBorders>
              <w:bottom w:val="single" w:sz="4" w:space="0" w:color="auto"/>
            </w:tcBorders>
            <w:tcMar>
              <w:top w:w="0" w:type="dxa"/>
              <w:left w:w="108" w:type="dxa"/>
              <w:bottom w:w="0" w:type="dxa"/>
              <w:right w:w="108" w:type="dxa"/>
            </w:tcMar>
            <w:vAlign w:val="center"/>
          </w:tcPr>
          <w:p w14:paraId="256F214D" w14:textId="77777777" w:rsidR="00A64FA2" w:rsidRDefault="00A64FA2">
            <w:pPr>
              <w:spacing w:after="0"/>
              <w:jc w:val="center"/>
              <w:rPr>
                <w:rFonts w:cs="Calibri"/>
                <w:b/>
                <w:bCs/>
                <w:sz w:val="20"/>
                <w:szCs w:val="20"/>
              </w:rPr>
            </w:pPr>
          </w:p>
        </w:tc>
        <w:tc>
          <w:tcPr>
            <w:tcW w:w="425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256F214E" w14:textId="77777777" w:rsidR="00A64FA2" w:rsidRPr="00B34CF1" w:rsidRDefault="59FE6E27" w:rsidP="672F9676">
            <w:pPr>
              <w:tabs>
                <w:tab w:val="left" w:pos="875"/>
              </w:tabs>
              <w:spacing w:after="0"/>
              <w:jc w:val="center"/>
              <w:rPr>
                <w:rFonts w:cs="Calibri"/>
              </w:rPr>
            </w:pPr>
            <w:r w:rsidRPr="00B34CF1">
              <w:rPr>
                <w:rFonts w:cs="Calibri"/>
              </w:rPr>
              <w:t>Comment un organisme de recherche public peut-il être partenaire du projet si ses seules dépenses sont les salaires du personnel de statut public, non éligibles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4F" w14:textId="77777777" w:rsidR="00A64FA2" w:rsidRPr="00B34CF1" w:rsidRDefault="00B06B42">
            <w:pPr>
              <w:tabs>
                <w:tab w:val="left" w:pos="5393"/>
              </w:tabs>
              <w:rPr>
                <w:rFonts w:cs="Calibri"/>
              </w:rPr>
            </w:pPr>
            <w:r w:rsidRPr="00B34CF1">
              <w:rPr>
                <w:rFonts w:cs="Calibri"/>
              </w:rPr>
              <w:t>Les salaires des personnels de statut public ne sont pas éligibles. Cependant, ils sont pris en compte dans le coût total du projet, et donc également dans le calcul des frais connexes.</w:t>
            </w:r>
          </w:p>
        </w:tc>
      </w:tr>
      <w:tr w:rsidR="00A64FA2" w14:paraId="256F215B" w14:textId="77777777" w:rsidTr="00E61E41">
        <w:trPr>
          <w:trHeight w:val="1787"/>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6F2156" w14:textId="77777777" w:rsidR="00A64FA2" w:rsidRDefault="00B06B42">
            <w:pPr>
              <w:spacing w:after="0"/>
              <w:jc w:val="center"/>
            </w:pPr>
            <w:r>
              <w:rPr>
                <w:rFonts w:cs="Calibri"/>
                <w:b/>
                <w:bCs/>
              </w:rPr>
              <w:t>Systèmes d'aide – financement</w:t>
            </w:r>
          </w:p>
          <w:p w14:paraId="256F2157" w14:textId="77777777" w:rsidR="00A64FA2" w:rsidRDefault="00A64FA2">
            <w:pPr>
              <w:spacing w:after="0"/>
              <w:jc w:val="center"/>
              <w:rPr>
                <w:rFonts w:cs="Calibri"/>
                <w:b/>
                <w:bCs/>
              </w:rPr>
            </w:pPr>
          </w:p>
        </w:tc>
        <w:tc>
          <w:tcPr>
            <w:tcW w:w="4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6F2158" w14:textId="77777777" w:rsidR="00A64FA2" w:rsidRPr="00B34CF1" w:rsidRDefault="59FE6E27" w:rsidP="672F9676">
            <w:pPr>
              <w:tabs>
                <w:tab w:val="left" w:pos="875"/>
              </w:tabs>
              <w:spacing w:after="0"/>
              <w:jc w:val="center"/>
              <w:rPr>
                <w:rFonts w:cs="Calibri"/>
              </w:rPr>
            </w:pPr>
            <w:r w:rsidRPr="00B34CF1">
              <w:rPr>
                <w:rFonts w:cs="Calibri"/>
              </w:rPr>
              <w:t>Date d’éligibilité des coûts</w:t>
            </w:r>
          </w:p>
        </w:tc>
        <w:tc>
          <w:tcPr>
            <w:tcW w:w="964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59" w14:textId="34FF7386" w:rsidR="00A64FA2" w:rsidRPr="00B34CF1" w:rsidRDefault="59FE6E27" w:rsidP="672F9676">
            <w:pPr>
              <w:rPr>
                <w:rFonts w:cs="Calibri"/>
              </w:rPr>
            </w:pPr>
            <w:r w:rsidRPr="00B34CF1">
              <w:rPr>
                <w:rFonts w:cs="Calibri"/>
              </w:rPr>
              <w:t xml:space="preserve">Seules les dépenses liées à l’opération et supportées par le bénéficiaire entre la date de demande </w:t>
            </w:r>
            <w:proofErr w:type="gramStart"/>
            <w:r w:rsidRPr="00B34CF1">
              <w:rPr>
                <w:rFonts w:cs="Calibri"/>
              </w:rPr>
              <w:t>d’aide(</w:t>
            </w:r>
            <w:proofErr w:type="gramEnd"/>
            <w:r w:rsidRPr="00B34CF1">
              <w:rPr>
                <w:rFonts w:cs="Calibri"/>
              </w:rPr>
              <w:t>dans le cadre de l’APR TEES, lors du dépôt de projets en phase 2 de sélection) et la date de fin de l’opération sont éligibles, à l’exception des dépenses liées au certificat de contrôle vise à l’article 12-2 qui pourront être éligibles malgré leur réalisation après la date de fin de l’opération.</w:t>
            </w:r>
          </w:p>
          <w:p w14:paraId="256F215A" w14:textId="77777777" w:rsidR="00A64FA2" w:rsidRPr="00B34CF1" w:rsidRDefault="59FE6E27" w:rsidP="672F9676">
            <w:pPr>
              <w:rPr>
                <w:rFonts w:cs="Calibri"/>
              </w:rPr>
            </w:pPr>
            <w:r w:rsidRPr="00B34CF1">
              <w:rPr>
                <w:rFonts w:cs="Calibri"/>
              </w:rPr>
              <w:t>Cela n’est valable que pour les projets lauréats, les projets non retenus ne recevant aucune aide de l’ADEME.</w:t>
            </w:r>
          </w:p>
        </w:tc>
      </w:tr>
      <w:tr w:rsidR="00A64FA2" w14:paraId="256F215F" w14:textId="77777777" w:rsidTr="00E61E41">
        <w:trPr>
          <w:trHeight w:val="1787"/>
        </w:trPr>
        <w:tc>
          <w:tcPr>
            <w:tcW w:w="141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F215C" w14:textId="77777777" w:rsidR="00A64FA2" w:rsidRDefault="00A64FA2">
            <w:pPr>
              <w:spacing w:after="0"/>
              <w:jc w:val="center"/>
              <w:rPr>
                <w:rFonts w:cs="Calibri"/>
                <w:b/>
                <w:bCs/>
              </w:rPr>
            </w:pPr>
          </w:p>
        </w:tc>
        <w:tc>
          <w:tcPr>
            <w:tcW w:w="4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6F215D" w14:textId="77777777" w:rsidR="00A64FA2" w:rsidRPr="00B34CF1" w:rsidRDefault="00B06B42">
            <w:pPr>
              <w:tabs>
                <w:tab w:val="left" w:pos="875"/>
              </w:tabs>
              <w:spacing w:after="0"/>
              <w:jc w:val="center"/>
            </w:pPr>
            <w:r w:rsidRPr="00B34CF1">
              <w:rPr>
                <w:rFonts w:cs="Calibri"/>
              </w:rPr>
              <w:t>Dans le tableau d’intensité de l’aide apportée par l’ADEME, qu’entend-on par « recherche fondamentale et recherche en connaissances nouvelles » ?</w:t>
            </w:r>
          </w:p>
        </w:tc>
        <w:tc>
          <w:tcPr>
            <w:tcW w:w="964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DAD513C" w14:textId="1E7173F8" w:rsidR="62DCDC96" w:rsidRPr="00B34CF1" w:rsidRDefault="62DCDC96" w:rsidP="672F9676">
            <w:pPr>
              <w:pStyle w:val="Paragraphedeliste"/>
              <w:numPr>
                <w:ilvl w:val="0"/>
                <w:numId w:val="3"/>
              </w:numPr>
              <w:spacing w:after="0" w:line="254" w:lineRule="auto"/>
              <w:rPr>
                <w:rFonts w:cs="Calibri"/>
              </w:rPr>
            </w:pPr>
            <w:r w:rsidRPr="00B34CF1">
              <w:rPr>
                <w:rFonts w:cs="Calibri"/>
              </w:rPr>
              <w:t>Travaux de recherche adressant des problématiques émergentes et permettant de fonder l’expertise sur ces nouveaux sujets</w:t>
            </w:r>
          </w:p>
          <w:p w14:paraId="1607854D" w14:textId="2BF10816" w:rsidR="62DCDC96" w:rsidRPr="00B34CF1" w:rsidRDefault="62DCDC96" w:rsidP="672F9676">
            <w:pPr>
              <w:pStyle w:val="Paragraphedeliste"/>
              <w:numPr>
                <w:ilvl w:val="0"/>
                <w:numId w:val="3"/>
              </w:numPr>
              <w:spacing w:after="0" w:line="254" w:lineRule="auto"/>
              <w:rPr>
                <w:rFonts w:cs="Calibri"/>
              </w:rPr>
            </w:pPr>
            <w:r w:rsidRPr="00B34CF1">
              <w:rPr>
                <w:rFonts w:cs="Calibri"/>
              </w:rPr>
              <w:t>Travaux de recherche qui conduisent à améliorer les connaissances sur de nouveaux instruments en soutien aux politiques publiques</w:t>
            </w:r>
          </w:p>
          <w:p w14:paraId="7DB78B19" w14:textId="7704F3DF" w:rsidR="62DCDC96" w:rsidRPr="00B34CF1" w:rsidRDefault="62DCDC96" w:rsidP="672F9676">
            <w:pPr>
              <w:pStyle w:val="Paragraphedeliste"/>
              <w:numPr>
                <w:ilvl w:val="0"/>
                <w:numId w:val="1"/>
              </w:numPr>
              <w:spacing w:line="254" w:lineRule="auto"/>
              <w:rPr>
                <w:rFonts w:cs="Calibri"/>
                <w:i/>
                <w:iCs/>
              </w:rPr>
            </w:pPr>
            <w:r w:rsidRPr="00B34CF1">
              <w:rPr>
                <w:rFonts w:cs="Calibri"/>
                <w:i/>
                <w:iCs/>
              </w:rPr>
              <w:t xml:space="preserve">Les résultats sont librement diffusés au sein de la communauté scientifique et plus largement </w:t>
            </w:r>
            <w:r w:rsidR="2770868D" w:rsidRPr="00B34CF1">
              <w:rPr>
                <w:rFonts w:cs="Calibri"/>
                <w:i/>
                <w:iCs/>
              </w:rPr>
              <w:t xml:space="preserve">de </w:t>
            </w:r>
            <w:r w:rsidRPr="00B34CF1">
              <w:rPr>
                <w:rFonts w:cs="Calibri"/>
                <w:i/>
                <w:iCs/>
              </w:rPr>
              <w:t>celle des experts du domaine de connaissance visé.</w:t>
            </w:r>
          </w:p>
          <w:p w14:paraId="256F215E" w14:textId="64E28240" w:rsidR="00A64FA2" w:rsidRPr="00B34CF1" w:rsidRDefault="7448466E">
            <w:r w:rsidRPr="00B34CF1">
              <w:rPr>
                <w:rFonts w:cs="Calibri"/>
              </w:rPr>
              <w:t xml:space="preserve">Cette recherche </w:t>
            </w:r>
            <w:r w:rsidR="59FE6E27" w:rsidRPr="00B34CF1">
              <w:rPr>
                <w:rFonts w:cs="Calibri"/>
              </w:rPr>
              <w:t xml:space="preserve">correspond à des </w:t>
            </w:r>
            <w:r w:rsidR="59FE6E27" w:rsidRPr="00B34CF1">
              <w:rPr>
                <w:rFonts w:cs="Calibri"/>
                <w:b/>
                <w:bCs/>
              </w:rPr>
              <w:t>niveaux TRL 0-3</w:t>
            </w:r>
            <w:r w:rsidR="59FE6E27" w:rsidRPr="00B34CF1">
              <w:rPr>
                <w:rFonts w:cs="Calibri"/>
              </w:rPr>
              <w:t>.</w:t>
            </w:r>
          </w:p>
        </w:tc>
      </w:tr>
      <w:tr w:rsidR="00A64FA2" w14:paraId="256F2164" w14:textId="77777777" w:rsidTr="00E61E41">
        <w:trPr>
          <w:trHeight w:val="1787"/>
        </w:trPr>
        <w:tc>
          <w:tcPr>
            <w:tcW w:w="1418" w:type="dxa"/>
            <w:vMerge/>
            <w:tcBorders>
              <w:top w:val="single" w:sz="4" w:space="0" w:color="auto"/>
            </w:tcBorders>
            <w:tcMar>
              <w:top w:w="0" w:type="dxa"/>
              <w:left w:w="108" w:type="dxa"/>
              <w:bottom w:w="0" w:type="dxa"/>
              <w:right w:w="108" w:type="dxa"/>
            </w:tcMar>
            <w:vAlign w:val="center"/>
          </w:tcPr>
          <w:p w14:paraId="256F2160" w14:textId="77777777" w:rsidR="00A64FA2" w:rsidRDefault="00A64FA2">
            <w:pPr>
              <w:spacing w:after="0"/>
              <w:jc w:val="center"/>
              <w:rPr>
                <w:rFonts w:cs="Calibri"/>
                <w:b/>
                <w:bCs/>
                <w:sz w:val="20"/>
                <w:szCs w:val="20"/>
              </w:rPr>
            </w:pPr>
          </w:p>
        </w:tc>
        <w:tc>
          <w:tcPr>
            <w:tcW w:w="425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61" w14:textId="77777777" w:rsidR="00A64FA2" w:rsidRPr="00B34CF1" w:rsidRDefault="00B06B42">
            <w:pPr>
              <w:tabs>
                <w:tab w:val="left" w:pos="875"/>
              </w:tabs>
              <w:spacing w:after="0"/>
              <w:jc w:val="center"/>
            </w:pPr>
            <w:r w:rsidRPr="00B34CF1">
              <w:rPr>
                <w:rFonts w:cs="Calibri"/>
              </w:rPr>
              <w:t>Dans le tableau d’intensité de l’aide apportée par l’ADEME, qu’entend-on par « recherche industrielle »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539D0F" w14:textId="5F5118E5" w:rsidR="0BBA0974" w:rsidRPr="00B34CF1" w:rsidRDefault="0BBA0974" w:rsidP="672F9676">
            <w:pPr>
              <w:tabs>
                <w:tab w:val="left" w:pos="5393"/>
              </w:tabs>
              <w:rPr>
                <w:rFonts w:cs="Calibri"/>
              </w:rPr>
            </w:pPr>
            <w:r w:rsidRPr="00B34CF1">
              <w:rPr>
                <w:rFonts w:cs="Calibri"/>
              </w:rPr>
              <w:t xml:space="preserve">Recherche planifiée ou des enquêtes critiques visant à acquérir de nouvelles connaissances et aptitudes en vue de mettre au point de nouveaux produits, procédés ou services, ou d’entraîner une amélioration notable de produits, procédés ou services existants, y compris des produits, procédés ou services numériques, dans tous les domaines, toutes les industries ou tous les secteurs (y compris, mais pas exclusivement, les industries et technologies numériques, comme les superordinateurs, les technologies quantiques, les technologies des chaînes de blocs, l’intelligence artificielle, la cybersécurité, les mégadonnées et les technologies en nuage). </w:t>
            </w:r>
          </w:p>
          <w:p w14:paraId="1EF2CBC5" w14:textId="40D0915E" w:rsidR="0BBA0974" w:rsidRPr="00B34CF1" w:rsidRDefault="0BBA0974" w:rsidP="672F9676">
            <w:pPr>
              <w:tabs>
                <w:tab w:val="left" w:pos="5393"/>
              </w:tabs>
              <w:rPr>
                <w:rFonts w:cs="Calibri"/>
              </w:rPr>
            </w:pPr>
            <w:r w:rsidRPr="00B34CF1">
              <w:rPr>
                <w:rFonts w:cs="Calibri"/>
              </w:rPr>
              <w:t>La recherche industrielle comprend la création de composants de systèmes complexes et peut inclure la construction de prototypes dans un environnement de laboratoire ou dans un environnement à interfaces simulées vers les systèmes existants, ainsi que des lignes pilotes à petite échelle pour tester et valider les résultats de la méthode de fabrication, lorsque c’est nécessaire pour la recherche industrielle, et notamment pour la validation de technologies génériques.</w:t>
            </w:r>
          </w:p>
          <w:p w14:paraId="256F2163" w14:textId="77777777" w:rsidR="00A64FA2" w:rsidRPr="00B34CF1" w:rsidRDefault="59FE6E27">
            <w:pPr>
              <w:tabs>
                <w:tab w:val="left" w:pos="5393"/>
              </w:tabs>
            </w:pPr>
            <w:r w:rsidRPr="00B34CF1">
              <w:rPr>
                <w:rFonts w:cs="Calibri"/>
              </w:rPr>
              <w:t>Elle correspond à des</w:t>
            </w:r>
            <w:r w:rsidRPr="00B34CF1">
              <w:rPr>
                <w:rFonts w:cs="Calibri"/>
                <w:b/>
                <w:bCs/>
              </w:rPr>
              <w:t xml:space="preserve"> niveaux TRL 4-6</w:t>
            </w:r>
            <w:r w:rsidRPr="00B34CF1">
              <w:rPr>
                <w:rFonts w:cs="Calibri"/>
              </w:rPr>
              <w:t>.</w:t>
            </w:r>
          </w:p>
        </w:tc>
      </w:tr>
      <w:tr w:rsidR="00A64FA2" w14:paraId="256F2169" w14:textId="77777777" w:rsidTr="00E61E41">
        <w:trPr>
          <w:trHeight w:val="567"/>
        </w:trPr>
        <w:tc>
          <w:tcPr>
            <w:tcW w:w="1418" w:type="dxa"/>
            <w:vMerge/>
            <w:tcMar>
              <w:top w:w="0" w:type="dxa"/>
              <w:left w:w="108" w:type="dxa"/>
              <w:bottom w:w="0" w:type="dxa"/>
              <w:right w:w="108" w:type="dxa"/>
            </w:tcMar>
            <w:vAlign w:val="center"/>
          </w:tcPr>
          <w:p w14:paraId="256F2165" w14:textId="77777777" w:rsidR="00A64FA2" w:rsidRDefault="00A64FA2">
            <w:pPr>
              <w:spacing w:after="0"/>
              <w:jc w:val="center"/>
              <w:rPr>
                <w:rFonts w:cs="Calibri"/>
                <w:b/>
                <w:bCs/>
                <w:sz w:val="20"/>
                <w:szCs w:val="20"/>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66" w14:textId="77777777" w:rsidR="00A64FA2" w:rsidRPr="00B34CF1" w:rsidRDefault="00B06B42">
            <w:pPr>
              <w:tabs>
                <w:tab w:val="left" w:pos="875"/>
              </w:tabs>
              <w:spacing w:after="0"/>
              <w:jc w:val="center"/>
            </w:pPr>
            <w:r w:rsidRPr="00B34CF1">
              <w:rPr>
                <w:rFonts w:cs="Calibri"/>
              </w:rPr>
              <w:t>Dans le tableau d’intensité de l’aide apportée par l’ADEME, qu’entend-on par « développement expérimental »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CADC3B" w14:textId="6974E1F1" w:rsidR="4370C3E4" w:rsidRPr="00B34CF1" w:rsidRDefault="4370C3E4" w:rsidP="672F9676">
            <w:pPr>
              <w:rPr>
                <w:rFonts w:cs="Calibri"/>
              </w:rPr>
            </w:pPr>
            <w:r w:rsidRPr="00B34CF1">
              <w:rPr>
                <w:rFonts w:cs="Calibri"/>
              </w:rPr>
              <w:t>L’acquisition, l’association, la mise en forme et l’utilisation de connaissances et d’aptitudes scientifiques, technologiques, commerciales et autres pertinentes en vue de développer des produits, des procédés ou des services nouveaux ou améliorés, y compris des produits, procédés ou services numériques, dans tous les domaines, toutes les industries ou tous les secteurs (y compris mais pas exclusivement, les industries et technologies numériques, comme les superordinateurs, les technologies quantiques, les technologies de chaînes de blocs, l’intelligence artificielle, la cybersécurité, les mégadonnées et les technologies en nuage ou de points). Il peut aussi s’agir, par exemple, d’activités visant la définition théorique et la planification de produits, de procédés ou de services nouveaux, ainsi que la consignation des informations qui s’y rapportent.</w:t>
            </w:r>
          </w:p>
          <w:p w14:paraId="6157ED00" w14:textId="49390281" w:rsidR="4370C3E4" w:rsidRPr="00B34CF1" w:rsidRDefault="4370C3E4" w:rsidP="672F9676">
            <w:pPr>
              <w:rPr>
                <w:rFonts w:cs="Calibri"/>
              </w:rPr>
            </w:pPr>
            <w:r w:rsidRPr="00B34CF1">
              <w:rPr>
                <w:rFonts w:cs="Calibri"/>
              </w:rPr>
              <w:lastRenderedPageBreak/>
              <w:t>Le développement expérimental peut comprendre la création de prototypes, la démonstration, l’élaboration de projets pilotes, les essais et la validation de produits, de procédés ou de services nouveaux ou améliorés dans des environnements représentatifs des conditions de la vie réelle, lorsque l’objectif premier est d’apporter des améliorations supplémentaires, au niveau technique, aux produits, procédés ou services qui ne sont pas en grande partie</w:t>
            </w:r>
            <w:r w:rsidR="35DF7157" w:rsidRPr="00B34CF1">
              <w:rPr>
                <w:rFonts w:cs="Calibri"/>
              </w:rPr>
              <w:t xml:space="preserve"> </w:t>
            </w:r>
            <w:r w:rsidR="001E110E">
              <w:rPr>
                <w:rFonts w:cs="Calibri"/>
              </w:rPr>
              <w:t>« </w:t>
            </w:r>
            <w:r w:rsidRPr="00B34CF1">
              <w:rPr>
                <w:rFonts w:cs="Calibri"/>
              </w:rPr>
              <w:t>fixés</w:t>
            </w:r>
            <w:r w:rsidR="001E110E">
              <w:rPr>
                <w:rFonts w:cs="Calibri"/>
              </w:rPr>
              <w:t> »</w:t>
            </w:r>
            <w:r w:rsidRPr="00B34CF1">
              <w:rPr>
                <w:rFonts w:cs="Calibri"/>
              </w:rPr>
              <w:t xml:space="preserve">. Il peut comprendre la création de prototypes et de projets pilotes commercialement exploitables qui sont nécessairement les produits commerciaux finals et qui sont trop onéreux à produire pour être utilisés uniquement à des fins de démonstration et de validation. </w:t>
            </w:r>
          </w:p>
          <w:p w14:paraId="2488CD2D" w14:textId="08BD5089" w:rsidR="4370C3E4" w:rsidRPr="00B34CF1" w:rsidRDefault="4370C3E4" w:rsidP="672F9676">
            <w:pPr>
              <w:rPr>
                <w:rFonts w:cs="Calibri"/>
              </w:rPr>
            </w:pPr>
            <w:r w:rsidRPr="00B34CF1">
              <w:rPr>
                <w:rFonts w:cs="Calibri"/>
              </w:rPr>
              <w:t>Le développement expérimental ne comprend pas les modifications de routine ou périodiques apportées à des produits, lignes de production, procédés de fabrication et services existants et à d’autres opérations en cours, même si ces modifications peuvent représenter des améliorations</w:t>
            </w:r>
            <w:r w:rsidR="438169C9" w:rsidRPr="00B34CF1">
              <w:rPr>
                <w:rFonts w:cs="Calibri"/>
              </w:rPr>
              <w:t>.</w:t>
            </w:r>
          </w:p>
          <w:p w14:paraId="256F2168" w14:textId="77777777" w:rsidR="00A64FA2" w:rsidRPr="00B34CF1" w:rsidRDefault="00B06B42">
            <w:r w:rsidRPr="00B34CF1">
              <w:rPr>
                <w:rFonts w:cs="Calibri"/>
              </w:rPr>
              <w:t xml:space="preserve">Cela correspond à des </w:t>
            </w:r>
            <w:r w:rsidRPr="00B34CF1">
              <w:rPr>
                <w:rFonts w:cs="Calibri"/>
                <w:b/>
              </w:rPr>
              <w:t>niveaux TRL 7-9</w:t>
            </w:r>
            <w:r w:rsidRPr="00B34CF1">
              <w:rPr>
                <w:rFonts w:cs="Calibri"/>
              </w:rPr>
              <w:t>.</w:t>
            </w:r>
          </w:p>
        </w:tc>
      </w:tr>
      <w:tr w:rsidR="00A64FA2" w14:paraId="256F2170" w14:textId="77777777" w:rsidTr="00E61E41">
        <w:trPr>
          <w:trHeight w:val="1787"/>
        </w:trPr>
        <w:tc>
          <w:tcPr>
            <w:tcW w:w="1418" w:type="dxa"/>
            <w:vMerge/>
            <w:tcMar>
              <w:top w:w="0" w:type="dxa"/>
              <w:left w:w="108" w:type="dxa"/>
              <w:bottom w:w="0" w:type="dxa"/>
              <w:right w:w="108" w:type="dxa"/>
            </w:tcMar>
            <w:vAlign w:val="center"/>
          </w:tcPr>
          <w:p w14:paraId="256F216A" w14:textId="77777777" w:rsidR="00A64FA2" w:rsidRDefault="00A64FA2">
            <w:pPr>
              <w:spacing w:after="0"/>
              <w:jc w:val="cente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6B" w14:textId="77777777" w:rsidR="00A64FA2" w:rsidRDefault="00B06B42">
            <w:pPr>
              <w:tabs>
                <w:tab w:val="left" w:pos="875"/>
              </w:tabs>
              <w:spacing w:after="0"/>
              <w:jc w:val="center"/>
            </w:pPr>
            <w:r>
              <w:rPr>
                <w:rFonts w:cs="Calibri"/>
              </w:rPr>
              <w:t>A quoi correspondent les dépenses connexes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6C" w14:textId="77777777" w:rsidR="00A64FA2" w:rsidRDefault="00B06B42">
            <w:pPr>
              <w:pStyle w:val="xmsonormal"/>
              <w:rPr>
                <w:rFonts w:cs="Times New Roman"/>
                <w:kern w:val="3"/>
                <w:lang w:eastAsia="en-US"/>
              </w:rPr>
            </w:pPr>
            <w:r>
              <w:rPr>
                <w:rFonts w:cs="Times New Roman"/>
                <w:kern w:val="3"/>
                <w:lang w:eastAsia="en-US"/>
              </w:rPr>
              <w:t>Les charges connexes correspondent à l’ensemble des charges (frais généraux, coûts indirects, frais de structure, frais d'environnement, etc.) qui ne peuvent être directement et exclusivement rattachées à l'opération mais qui concourent à la réalisation des objectifs de celle-ci justifiant l’aide accordée et qui nécessitent un calcul intermédiaire pour les affecter à l'opération, calcul retracé en comptabilité analytique du porteur de projet.</w:t>
            </w:r>
          </w:p>
          <w:p w14:paraId="6CC64DF8" w14:textId="77777777" w:rsidR="00C93D89" w:rsidRDefault="59FE6E27">
            <w:pPr>
              <w:pStyle w:val="xmsonormal"/>
              <w:rPr>
                <w:rFonts w:cs="Times New Roman"/>
                <w:kern w:val="3"/>
                <w:lang w:eastAsia="en-US"/>
              </w:rPr>
            </w:pPr>
            <w:r>
              <w:rPr>
                <w:rFonts w:cs="Times New Roman"/>
                <w:kern w:val="3"/>
                <w:lang w:eastAsia="en-US"/>
              </w:rPr>
              <w:t>La règle générale retenue par l'ADEME pour la prise en compte des charges connexes est la méthode à taux forfaitaire.</w:t>
            </w:r>
          </w:p>
          <w:p w14:paraId="55B5C42B" w14:textId="5A178E92" w:rsidR="00212FCB" w:rsidRPr="00746CE3" w:rsidRDefault="00D32A26" w:rsidP="00212FCB">
            <w:pPr>
              <w:pStyle w:val="pf0"/>
              <w:rPr>
                <w:rFonts w:ascii="Calibri" w:eastAsia="Calibri" w:hAnsi="Calibri"/>
                <w:kern w:val="3"/>
                <w:sz w:val="22"/>
                <w:szCs w:val="22"/>
                <w:lang w:eastAsia="en-US"/>
              </w:rPr>
            </w:pPr>
            <w:r w:rsidRPr="000C12B6">
              <w:rPr>
                <w:rFonts w:ascii="Calibri" w:eastAsia="Calibri" w:hAnsi="Calibri"/>
                <w:kern w:val="3"/>
                <w:sz w:val="22"/>
                <w:szCs w:val="22"/>
                <w:lang w:eastAsia="en-US"/>
              </w:rPr>
              <w:t xml:space="preserve">Le taux de charges connexes </w:t>
            </w:r>
            <w:r w:rsidR="0080102C" w:rsidRPr="000C12B6">
              <w:rPr>
                <w:rFonts w:ascii="Calibri" w:eastAsia="Calibri" w:hAnsi="Calibri"/>
                <w:kern w:val="3"/>
                <w:sz w:val="22"/>
                <w:szCs w:val="22"/>
                <w:lang w:eastAsia="en-US"/>
              </w:rPr>
              <w:t xml:space="preserve">est </w:t>
            </w:r>
            <w:r w:rsidRPr="000C12B6">
              <w:rPr>
                <w:rFonts w:ascii="Calibri" w:eastAsia="Calibri" w:hAnsi="Calibri"/>
                <w:kern w:val="3"/>
                <w:sz w:val="22"/>
                <w:szCs w:val="22"/>
                <w:lang w:eastAsia="en-US"/>
              </w:rPr>
              <w:t>plafonné à 20%</w:t>
            </w:r>
            <w:r w:rsidR="0080102C" w:rsidRPr="000C12B6">
              <w:rPr>
                <w:rFonts w:ascii="Calibri" w:eastAsia="Calibri" w:hAnsi="Calibri"/>
                <w:kern w:val="3"/>
                <w:sz w:val="22"/>
                <w:szCs w:val="22"/>
                <w:lang w:eastAsia="en-US"/>
              </w:rPr>
              <w:t xml:space="preserve"> des couts totaux prévisionnels de l’opération (</w:t>
            </w:r>
            <w:r w:rsidR="00A7728E" w:rsidRPr="000C12B6">
              <w:rPr>
                <w:rFonts w:ascii="Calibri" w:eastAsia="Calibri" w:hAnsi="Calibri"/>
                <w:kern w:val="3"/>
                <w:sz w:val="22"/>
                <w:szCs w:val="22"/>
                <w:lang w:eastAsia="en-US"/>
              </w:rPr>
              <w:t>hors charges connexes</w:t>
            </w:r>
            <w:proofErr w:type="gramStart"/>
            <w:r w:rsidR="00A7728E" w:rsidRPr="000C12B6">
              <w:rPr>
                <w:rFonts w:ascii="Calibri" w:eastAsia="Calibri" w:hAnsi="Calibri"/>
                <w:kern w:val="3"/>
                <w:sz w:val="22"/>
                <w:szCs w:val="22"/>
                <w:lang w:eastAsia="en-US"/>
              </w:rPr>
              <w:t>).</w:t>
            </w:r>
            <w:r w:rsidR="00212FCB" w:rsidRPr="00746CE3">
              <w:rPr>
                <w:rFonts w:ascii="Calibri" w:eastAsia="Calibri" w:hAnsi="Calibri"/>
                <w:kern w:val="3"/>
                <w:sz w:val="22"/>
                <w:szCs w:val="22"/>
                <w:lang w:eastAsia="en-US"/>
              </w:rPr>
              <w:t>Le</w:t>
            </w:r>
            <w:proofErr w:type="gramEnd"/>
            <w:r w:rsidR="00212FCB" w:rsidRPr="00746CE3">
              <w:rPr>
                <w:rFonts w:ascii="Calibri" w:eastAsia="Calibri" w:hAnsi="Calibri"/>
                <w:kern w:val="3"/>
                <w:sz w:val="22"/>
                <w:szCs w:val="22"/>
                <w:lang w:eastAsia="en-US"/>
              </w:rPr>
              <w:t xml:space="preserve"> taux forfaitaire de 20% pourra être ajusté à la baisse si les charges connexes prévisionnelles sont inférieures à celui-ci. Ce taux sera ensuite fixé contractuellement et ne pourra varier. </w:t>
            </w:r>
          </w:p>
          <w:p w14:paraId="256F216E" w14:textId="77777777" w:rsidR="00A64FA2" w:rsidRDefault="00B06B42">
            <w:pPr>
              <w:pStyle w:val="xmsonormal"/>
              <w:rPr>
                <w:rFonts w:cs="Times New Roman"/>
                <w:kern w:val="3"/>
                <w:lang w:eastAsia="en-US"/>
              </w:rPr>
            </w:pPr>
            <w:r>
              <w:rPr>
                <w:rFonts w:cs="Times New Roman"/>
                <w:kern w:val="3"/>
                <w:lang w:eastAsia="en-US"/>
              </w:rPr>
              <w:t>Exceptionnellement et sur demande de dérogation, la prise en compte des charges connexes réelles pourra être retenue. Dans ce cas, cette ligne de dépense devra faire l'objet d'un certificat de contrôle signé par un commissaire aux comptes, comptable public ou expert-comptable indépendant lors de la demande de paiement.</w:t>
            </w:r>
          </w:p>
          <w:p w14:paraId="256F216F" w14:textId="77777777" w:rsidR="00A64FA2" w:rsidRDefault="00A64FA2"/>
        </w:tc>
      </w:tr>
      <w:tr w:rsidR="00A64FA2" w14:paraId="256F2176" w14:textId="77777777" w:rsidTr="00E61E41">
        <w:trPr>
          <w:trHeight w:val="1220"/>
        </w:trPr>
        <w:tc>
          <w:tcPr>
            <w:tcW w:w="1418" w:type="dxa"/>
            <w:vMerge/>
            <w:tcMar>
              <w:top w:w="0" w:type="dxa"/>
              <w:left w:w="108" w:type="dxa"/>
              <w:bottom w:w="0" w:type="dxa"/>
              <w:right w:w="108" w:type="dxa"/>
            </w:tcMar>
            <w:vAlign w:val="center"/>
          </w:tcPr>
          <w:p w14:paraId="256F2171" w14:textId="77777777" w:rsidR="00A64FA2" w:rsidRDefault="00A64FA2">
            <w:pPr>
              <w:spacing w:after="0"/>
              <w:jc w:val="center"/>
              <w:rPr>
                <w:rFonts w:cs="Calibri"/>
                <w:b/>
                <w:bCs/>
                <w:sz w:val="20"/>
                <w:szCs w:val="20"/>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72" w14:textId="77777777" w:rsidR="00A64FA2" w:rsidRDefault="00B06B42">
            <w:pPr>
              <w:pStyle w:val="xmsonormal"/>
              <w:jc w:val="center"/>
              <w:rPr>
                <w:rFonts w:cs="Times New Roman"/>
                <w:kern w:val="3"/>
                <w:lang w:eastAsia="en-US"/>
              </w:rPr>
            </w:pPr>
            <w:r>
              <w:rPr>
                <w:rFonts w:cs="Times New Roman"/>
                <w:kern w:val="3"/>
                <w:lang w:eastAsia="en-US"/>
              </w:rPr>
              <w:t>A quoi correspondent les dépenses d’équipement ?</w:t>
            </w:r>
          </w:p>
          <w:p w14:paraId="256F2173" w14:textId="77777777" w:rsidR="00A64FA2" w:rsidRDefault="00A64FA2">
            <w:pPr>
              <w:tabs>
                <w:tab w:val="left" w:pos="875"/>
              </w:tabs>
              <w:spacing w:after="0"/>
              <w:jc w:val="center"/>
            </w:pP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F2175" w14:textId="249419DC" w:rsidR="00A64FA2" w:rsidRDefault="00B06B42" w:rsidP="00B16C3A">
            <w:pPr>
              <w:pStyle w:val="xmsonormal"/>
            </w:pPr>
            <w:r>
              <w:rPr>
                <w:rFonts w:cs="Times New Roman"/>
                <w:kern w:val="3"/>
                <w:lang w:eastAsia="en-US"/>
              </w:rPr>
              <w:t>Les dépenses d'équipement ne concernent que les biens concourant à la réalisation du projet et totalement amortis sur la durée du projet (comptes comptables de Classe 2). A défaut, les dépenses d'équipement nécessaires à la réalisation de l'opération sont considérées comme des dotations aux amortissements (comptes comptables de Classe 6), et doivent être portées dans la rubrique "Dépenses de fonctionnement"</w:t>
            </w:r>
          </w:p>
        </w:tc>
      </w:tr>
      <w:tr w:rsidR="00A64FA2" w14:paraId="256F218B" w14:textId="77777777" w:rsidTr="00E61E41">
        <w:trPr>
          <w:trHeight w:val="1220"/>
        </w:trPr>
        <w:tc>
          <w:tcPr>
            <w:tcW w:w="1418" w:type="dxa"/>
            <w:vMerge/>
            <w:tcMar>
              <w:top w:w="0" w:type="dxa"/>
              <w:left w:w="108" w:type="dxa"/>
              <w:bottom w:w="0" w:type="dxa"/>
              <w:right w:w="108" w:type="dxa"/>
            </w:tcMar>
            <w:vAlign w:val="center"/>
          </w:tcPr>
          <w:p w14:paraId="256F2177" w14:textId="77777777" w:rsidR="00A64FA2" w:rsidRDefault="00A64FA2">
            <w:pPr>
              <w:spacing w:after="0"/>
              <w:jc w:val="center"/>
              <w:rPr>
                <w:rFonts w:cs="Calibri"/>
                <w:b/>
                <w:bCs/>
                <w:sz w:val="20"/>
                <w:szCs w:val="20"/>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78" w14:textId="2CBFC9FC" w:rsidR="00A64FA2" w:rsidRDefault="00B06B42">
            <w:pPr>
              <w:tabs>
                <w:tab w:val="left" w:pos="875"/>
              </w:tabs>
              <w:spacing w:after="0"/>
              <w:jc w:val="center"/>
            </w:pPr>
            <w:r>
              <w:t>Quelles sont les règles de prise en compte des amortissements dans le cadre d’un projet recherche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F2179" w14:textId="170C87ED" w:rsidR="00A64FA2" w:rsidRDefault="59FE6E27">
            <w:pPr>
              <w:pStyle w:val="xmsolistparagraph"/>
              <w:numPr>
                <w:ilvl w:val="0"/>
                <w:numId w:val="5"/>
              </w:numPr>
            </w:pPr>
            <w:r w:rsidRPr="672F9676">
              <w:rPr>
                <w:rFonts w:eastAsia="Times New Roman"/>
                <w:u w:val="single"/>
              </w:rPr>
              <w:t>Si un équipement utilisé et acheté pour le projet est complètement amorti durant la durée contractuelle de l’opération</w:t>
            </w:r>
            <w:r w:rsidRPr="672F9676">
              <w:rPr>
                <w:rFonts w:eastAsia="Times New Roman"/>
              </w:rPr>
              <w:t xml:space="preserve">, alors prise en compte du montant total de cette dépense dans le calcul de l’aide sur le même principe que les autres dépenses éligibles dans le poste équipement (classe 2) ou quote-part d’utilisation au projet uniquement si l’équipement est utilisé pour un autre projet   </w:t>
            </w:r>
          </w:p>
          <w:p w14:paraId="256F217A" w14:textId="77777777" w:rsidR="00A64FA2" w:rsidRDefault="00B06B42">
            <w:pPr>
              <w:pStyle w:val="xmsolistparagraph"/>
            </w:pPr>
            <w:r>
              <w:t>                                                                                          </w:t>
            </w:r>
          </w:p>
          <w:p w14:paraId="256F217B" w14:textId="77777777" w:rsidR="00A64FA2" w:rsidRDefault="00B06B42">
            <w:pPr>
              <w:pStyle w:val="xmsolistparagraph"/>
              <w:numPr>
                <w:ilvl w:val="0"/>
                <w:numId w:val="6"/>
              </w:numPr>
            </w:pPr>
            <w:r>
              <w:rPr>
                <w:rFonts w:eastAsia="Times New Roman"/>
              </w:rPr>
              <w:t> </w:t>
            </w:r>
            <w:r>
              <w:rPr>
                <w:rFonts w:eastAsia="Times New Roman"/>
                <w:u w:val="single"/>
              </w:rPr>
              <w:t>Si équipement utilisé pour le projet qu’il soit acquis avant ou pendant la durée de l’opération</w:t>
            </w:r>
            <w:r>
              <w:rPr>
                <w:rFonts w:eastAsia="Times New Roman"/>
              </w:rPr>
              <w:t>, il peut être pris en compte dans les dotations aux amortissements (compte de classe 6 -dépenses de fonctionnement)</w:t>
            </w:r>
          </w:p>
          <w:p w14:paraId="256F217C" w14:textId="77777777" w:rsidR="00A64FA2" w:rsidRDefault="00B06B42">
            <w:pPr>
              <w:pStyle w:val="xmsonormal"/>
            </w:pPr>
            <w:r>
              <w:t> </w:t>
            </w:r>
          </w:p>
          <w:p w14:paraId="256F217D" w14:textId="77777777" w:rsidR="00A64FA2" w:rsidRDefault="00B06B42">
            <w:pPr>
              <w:pStyle w:val="xmsonormal"/>
            </w:pPr>
            <w:r>
              <w:rPr>
                <w:b/>
                <w:bCs/>
              </w:rPr>
              <w:t>L’amortissement est la constatation de l’amoindrissement de la valeur d’un élément d’actif résultant de l’usage du temps du changement de technique ou de toute autre chose. Cet amoindrissement de valeur peut être calculé d’un rythme linéaire ou dégressif</w:t>
            </w:r>
          </w:p>
          <w:p w14:paraId="256F217E" w14:textId="77777777" w:rsidR="00A64FA2" w:rsidRDefault="00B06B42">
            <w:pPr>
              <w:pStyle w:val="xmsonormal"/>
            </w:pPr>
            <w:r>
              <w:rPr>
                <w:i/>
                <w:iCs/>
              </w:rPr>
              <w:t> </w:t>
            </w:r>
          </w:p>
          <w:p w14:paraId="256F217F" w14:textId="77777777" w:rsidR="00A64FA2" w:rsidRDefault="00B06B42">
            <w:pPr>
              <w:pStyle w:val="xmsonormal"/>
            </w:pPr>
            <w:r>
              <w:rPr>
                <w:i/>
                <w:iCs/>
              </w:rPr>
              <w:t>L’ADEME se référera au mode d’amortissement réel de l’entreprise qui est responsable fiscalement et comptablement de ces choix d’amortissement (mode d’amortissement, durée, amortissement par composants) :</w:t>
            </w:r>
          </w:p>
          <w:p w14:paraId="256F2180" w14:textId="77777777" w:rsidR="00A64FA2" w:rsidRDefault="00B06B42">
            <w:pPr>
              <w:pStyle w:val="xmsonormal"/>
            </w:pPr>
            <w:r>
              <w:rPr>
                <w:b/>
                <w:bCs/>
              </w:rPr>
              <w:t xml:space="preserve">Amortissement linéaire </w:t>
            </w:r>
          </w:p>
          <w:p w14:paraId="256F2181" w14:textId="77777777" w:rsidR="00A64FA2" w:rsidRDefault="00B06B42">
            <w:pPr>
              <w:pStyle w:val="xmsonormal"/>
            </w:pPr>
            <w:r>
              <w:rPr>
                <w:rFonts w:ascii="Arial" w:hAnsi="Arial" w:cs="Arial"/>
              </w:rPr>
              <w:t>►</w:t>
            </w:r>
            <w:r>
              <w:t>date de départ du calcul : date de mise en service de l’équipement</w:t>
            </w:r>
          </w:p>
          <w:p w14:paraId="256F2182" w14:textId="77777777" w:rsidR="00A64FA2" w:rsidRDefault="00B06B42">
            <w:pPr>
              <w:pStyle w:val="xmsonormal"/>
            </w:pPr>
            <w:r>
              <w:rPr>
                <w:b/>
                <w:bCs/>
              </w:rPr>
              <w:t>Amortissement dégressif</w:t>
            </w:r>
            <w:r>
              <w:t xml:space="preserve"> </w:t>
            </w:r>
          </w:p>
          <w:p w14:paraId="256F2183" w14:textId="77777777" w:rsidR="00A64FA2" w:rsidRDefault="00B06B42">
            <w:pPr>
              <w:pStyle w:val="xmsonormal"/>
            </w:pPr>
            <w:r>
              <w:rPr>
                <w:rFonts w:ascii="Arial" w:hAnsi="Arial" w:cs="Arial"/>
              </w:rPr>
              <w:t>►</w:t>
            </w:r>
            <w:r>
              <w:t xml:space="preserve">date de départ du calcul : 1er jour du mois d’acquisition  </w:t>
            </w:r>
          </w:p>
          <w:p w14:paraId="256F2184" w14:textId="77777777" w:rsidR="00A64FA2" w:rsidRDefault="00B06B42">
            <w:pPr>
              <w:pStyle w:val="xmsonormal"/>
            </w:pPr>
            <w:r>
              <w:t>Si la machine est acquise au cours du mois de juin, l'annuité 1 est donc calculée à partir du 1er juin.</w:t>
            </w:r>
          </w:p>
          <w:p w14:paraId="256F2185" w14:textId="77777777" w:rsidR="00A64FA2" w:rsidRDefault="00B06B42">
            <w:pPr>
              <w:pStyle w:val="xmsolistparagraph"/>
            </w:pPr>
            <w:r>
              <w:t> </w:t>
            </w:r>
          </w:p>
          <w:p w14:paraId="256F2186" w14:textId="77777777" w:rsidR="00A64FA2" w:rsidRDefault="00B06B42">
            <w:pPr>
              <w:pStyle w:val="xmsonormal"/>
            </w:pPr>
            <w:r>
              <w:t xml:space="preserve">- </w:t>
            </w:r>
            <w:r>
              <w:rPr>
                <w:u w:val="single"/>
              </w:rPr>
              <w:t>Matériel acquis avant le projet</w:t>
            </w:r>
            <w:r>
              <w:t xml:space="preserve"> mais non complètement amorti et utilisé dans le cadre du projet </w:t>
            </w:r>
          </w:p>
          <w:p w14:paraId="256F2187" w14:textId="77777777" w:rsidR="00A64FA2" w:rsidRDefault="00B06B42">
            <w:pPr>
              <w:pStyle w:val="xmsonormal"/>
            </w:pPr>
            <w:r>
              <w:t>--&gt; les dépenses d'amortissement liées à la durée du projet sont éligibles.</w:t>
            </w:r>
          </w:p>
          <w:p w14:paraId="256F2188" w14:textId="77777777" w:rsidR="00A64FA2" w:rsidRDefault="00B06B42">
            <w:pPr>
              <w:pStyle w:val="xmsonormal"/>
            </w:pPr>
            <w:r>
              <w:rPr>
                <w:rFonts w:ascii="Arial" w:hAnsi="Arial" w:cs="Arial"/>
              </w:rPr>
              <w:t>►</w:t>
            </w:r>
            <w:r>
              <w:t xml:space="preserve"> (Durée du projet en mois / Durée d'amortissement) x % utilisation pour le projet</w:t>
            </w:r>
          </w:p>
          <w:p w14:paraId="256F2189" w14:textId="77777777" w:rsidR="00A64FA2" w:rsidRDefault="00B06B42">
            <w:pPr>
              <w:pStyle w:val="xmsonormal"/>
            </w:pPr>
            <w:r>
              <w:t xml:space="preserve">- </w:t>
            </w:r>
            <w:r>
              <w:rPr>
                <w:u w:val="single"/>
              </w:rPr>
              <w:t>Matériel acquis pendant la période de validité du projet</w:t>
            </w:r>
            <w:r>
              <w:t xml:space="preserve"> mais pas complètement amorti sur la durée du projet                                                                                                                                                                                </w:t>
            </w:r>
          </w:p>
          <w:p w14:paraId="256F218A" w14:textId="77777777" w:rsidR="00A64FA2" w:rsidRDefault="00B06B42">
            <w:pPr>
              <w:pStyle w:val="xmsonormal"/>
            </w:pPr>
            <w:r>
              <w:rPr>
                <w:rFonts w:ascii="Arial" w:hAnsi="Arial" w:cs="Arial"/>
              </w:rPr>
              <w:lastRenderedPageBreak/>
              <w:t>►</w:t>
            </w:r>
            <w:r>
              <w:t xml:space="preserve"> Durée entre l’acquisition (mise en service) de l’équipement et la fin du projet/ Durée d'amortissement) x % utilisation pour le projet</w:t>
            </w:r>
          </w:p>
        </w:tc>
      </w:tr>
      <w:tr w:rsidR="00A64FA2" w14:paraId="256F2192" w14:textId="77777777" w:rsidTr="00E61E41">
        <w:trPr>
          <w:trHeight w:val="1220"/>
        </w:trPr>
        <w:tc>
          <w:tcPr>
            <w:tcW w:w="1418" w:type="dxa"/>
            <w:vMerge/>
            <w:tcMar>
              <w:top w:w="0" w:type="dxa"/>
              <w:left w:w="108" w:type="dxa"/>
              <w:bottom w:w="0" w:type="dxa"/>
              <w:right w:w="108" w:type="dxa"/>
            </w:tcMar>
            <w:vAlign w:val="center"/>
          </w:tcPr>
          <w:p w14:paraId="256F218C" w14:textId="77777777" w:rsidR="00A64FA2" w:rsidRDefault="00A64FA2">
            <w:pPr>
              <w:spacing w:after="0"/>
              <w:jc w:val="center"/>
              <w:rPr>
                <w:rFonts w:cs="Calibri"/>
                <w:b/>
                <w:bCs/>
                <w:sz w:val="20"/>
                <w:szCs w:val="20"/>
              </w:rPr>
            </w:pP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8D" w14:textId="77777777" w:rsidR="00A64FA2" w:rsidRDefault="00B06B42">
            <w:pPr>
              <w:tabs>
                <w:tab w:val="left" w:pos="875"/>
              </w:tabs>
              <w:spacing w:after="0"/>
              <w:jc w:val="center"/>
            </w:pPr>
            <w:r>
              <w:rPr>
                <w:rFonts w:cs="Calibri"/>
              </w:rPr>
              <w:t xml:space="preserve">Peut-il y avoir des variations financières entre la phase de </w:t>
            </w:r>
            <w:proofErr w:type="spellStart"/>
            <w:r>
              <w:rPr>
                <w:rFonts w:cs="Calibri"/>
              </w:rPr>
              <w:t>pré-projet</w:t>
            </w:r>
            <w:proofErr w:type="spellEnd"/>
            <w:r>
              <w:rPr>
                <w:rFonts w:cs="Calibri"/>
              </w:rPr>
              <w:t xml:space="preserve"> et la seconde phase avec le dossier complet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F2190" w14:textId="0377692C" w:rsidR="00A64FA2" w:rsidRPr="00193B8C" w:rsidRDefault="59FE6E27" w:rsidP="672F9676">
            <w:pPr>
              <w:spacing w:after="0"/>
              <w:rPr>
                <w:rFonts w:cs="Calibri"/>
              </w:rPr>
            </w:pPr>
            <w:r w:rsidRPr="00193B8C">
              <w:t xml:space="preserve">Il est demandé d’estimer au plus juste les dépenses dès la première phase.  Les variations entre la phase 1 et la phase 2 pourront uniquement dépendre d’un ajustement sur recommandation du jury de pré-sélection. </w:t>
            </w:r>
          </w:p>
          <w:p w14:paraId="256F2191" w14:textId="24C7AC83" w:rsidR="00A64FA2" w:rsidRDefault="59FE6E27" w:rsidP="51FC0A73">
            <w:pPr>
              <w:tabs>
                <w:tab w:val="left" w:pos="5393"/>
              </w:tabs>
              <w:rPr>
                <w:color w:val="4472C4" w:themeColor="accent1"/>
              </w:rPr>
            </w:pPr>
            <w:r w:rsidRPr="00193B8C">
              <w:t xml:space="preserve">L’ADEME n’autorise pas d’augmentation du montant d’aide demandé </w:t>
            </w:r>
            <w:r w:rsidR="0E7CC3E5" w:rsidRPr="00193B8C">
              <w:t xml:space="preserve">(ou à la marge) </w:t>
            </w:r>
            <w:r w:rsidRPr="00193B8C">
              <w:t>sauf si le projet a reçu une recommandation du jury de sélection pour une révision du programme de travail, l’ajout d’une tâche ou d’un partenaire, etc., nécessitant un financement public supplémentaire.</w:t>
            </w:r>
          </w:p>
        </w:tc>
      </w:tr>
      <w:tr w:rsidR="00A64FA2" w14:paraId="256F2197" w14:textId="77777777" w:rsidTr="00E61E41">
        <w:trPr>
          <w:trHeight w:val="225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93" w14:textId="77777777" w:rsidR="00A64FA2" w:rsidRDefault="00A64FA2">
            <w:pPr>
              <w:spacing w:after="0"/>
              <w:jc w:val="center"/>
            </w:pPr>
          </w:p>
          <w:p w14:paraId="256F2194" w14:textId="77777777" w:rsidR="00A64FA2" w:rsidRDefault="00B06B42">
            <w:pPr>
              <w:spacing w:after="0"/>
              <w:jc w:val="center"/>
            </w:pPr>
            <w:r>
              <w:rPr>
                <w:rFonts w:cs="Calibri"/>
                <w:b/>
                <w:bCs/>
              </w:rPr>
              <w:t>Science ouverte</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95" w14:textId="77777777" w:rsidR="00A64FA2" w:rsidRDefault="00B06B42">
            <w:pPr>
              <w:tabs>
                <w:tab w:val="left" w:pos="875"/>
              </w:tabs>
              <w:spacing w:after="0"/>
              <w:jc w:val="center"/>
              <w:rPr>
                <w:rFonts w:cs="Calibri"/>
              </w:rPr>
            </w:pPr>
            <w:r>
              <w:rPr>
                <w:rFonts w:cs="Calibri"/>
              </w:rPr>
              <w:t>La publication d'une demande de brevet est-elle comprise dans le périmètre du critère de contribution aux archives ouvertes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96" w14:textId="77777777" w:rsidR="00A64FA2" w:rsidRDefault="00B06B42">
            <w:pPr>
              <w:tabs>
                <w:tab w:val="left" w:pos="5393"/>
              </w:tabs>
              <w:rPr>
                <w:rFonts w:cs="Calibri"/>
              </w:rPr>
            </w:pPr>
            <w:r>
              <w:rPr>
                <w:rFonts w:cs="Calibri"/>
              </w:rPr>
              <w:t xml:space="preserve">Le critère concernant la publication dans une archive ouverte ne concerne que les publications scientifiques (texte intégral), et non les brevets. Pour tout ce qui relève de la recherche en connaissance nouvelle, c’est obligatoire. </w:t>
            </w:r>
          </w:p>
        </w:tc>
      </w:tr>
      <w:tr w:rsidR="00A64FA2" w14:paraId="256F21A0" w14:textId="77777777" w:rsidTr="00E61E41">
        <w:trPr>
          <w:trHeight w:val="30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98" w14:textId="77777777" w:rsidR="00A64FA2" w:rsidRDefault="00B06B42">
            <w:pPr>
              <w:spacing w:after="0"/>
              <w:jc w:val="center"/>
            </w:pPr>
            <w:r>
              <w:rPr>
                <w:rFonts w:cs="Calibri"/>
                <w:b/>
              </w:rPr>
              <w:t>Confidentialité</w:t>
            </w:r>
          </w:p>
        </w:tc>
        <w:tc>
          <w:tcPr>
            <w:tcW w:w="4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99" w14:textId="77777777" w:rsidR="00A64FA2" w:rsidRDefault="00B06B42">
            <w:pPr>
              <w:tabs>
                <w:tab w:val="left" w:pos="875"/>
              </w:tabs>
              <w:spacing w:after="0"/>
              <w:jc w:val="center"/>
              <w:rPr>
                <w:rFonts w:cs="Calibri"/>
              </w:rPr>
            </w:pPr>
            <w:r>
              <w:rPr>
                <w:rFonts w:cs="Calibri"/>
              </w:rPr>
              <w:t>Est-ce que l'ADEME garantit la sécurité des données confidentielles communiquées dans le dossier ?</w:t>
            </w:r>
          </w:p>
        </w:tc>
        <w:tc>
          <w:tcPr>
            <w:tcW w:w="9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6F219A" w14:textId="77777777" w:rsidR="00A64FA2" w:rsidRDefault="00B06B42">
            <w:pPr>
              <w:spacing w:after="0"/>
            </w:pPr>
            <w:r>
              <w:rPr>
                <w:rFonts w:cs="Calibri"/>
              </w:rPr>
              <w:t xml:space="preserve">Voir </w:t>
            </w:r>
            <w:hyperlink r:id="rId7" w:history="1">
              <w:r>
                <w:rPr>
                  <w:rFonts w:cs="Calibri"/>
                  <w:u w:val="single"/>
                </w:rPr>
                <w:t>les règles générales en</w:t>
              </w:r>
            </w:hyperlink>
            <w:r>
              <w:rPr>
                <w:rFonts w:cs="Calibri"/>
                <w:u w:val="single"/>
              </w:rPr>
              <w:t xml:space="preserve"> vigueur.</w:t>
            </w:r>
          </w:p>
          <w:p w14:paraId="256F219B" w14:textId="77777777" w:rsidR="00A64FA2" w:rsidRDefault="00A64FA2">
            <w:pPr>
              <w:spacing w:after="0"/>
              <w:rPr>
                <w:rFonts w:cs="Calibri"/>
              </w:rPr>
            </w:pPr>
          </w:p>
          <w:p w14:paraId="256F219C" w14:textId="77777777" w:rsidR="00A64FA2" w:rsidRDefault="00B06B42">
            <w:pPr>
              <w:suppressAutoHyphens w:val="0"/>
              <w:autoSpaceDE w:val="0"/>
              <w:spacing w:after="0"/>
              <w:rPr>
                <w:rFonts w:cs="Calibri"/>
                <w:b/>
                <w:bCs/>
              </w:rPr>
            </w:pPr>
            <w:r>
              <w:rPr>
                <w:rFonts w:cs="Calibri"/>
                <w:b/>
                <w:bCs/>
              </w:rPr>
              <w:t>Par principe, tous les documents et toute autre information appartenant au Bénéficiaire et communiqués à l’ADEME sur quelque support que ce soit ainsi que les résultats obtenus en application de l’exécution de l’opération, sont considérés comme non confidentiels.</w:t>
            </w:r>
          </w:p>
          <w:p w14:paraId="256F219D" w14:textId="77777777" w:rsidR="00A64FA2" w:rsidRDefault="00A64FA2">
            <w:pPr>
              <w:spacing w:after="0"/>
              <w:rPr>
                <w:rFonts w:cs="Calibri"/>
              </w:rPr>
            </w:pPr>
          </w:p>
          <w:p w14:paraId="256F219E" w14:textId="77777777" w:rsidR="00A64FA2" w:rsidRDefault="00B06B42">
            <w:pPr>
              <w:spacing w:after="0"/>
              <w:rPr>
                <w:rFonts w:cs="Calibri"/>
              </w:rPr>
            </w:pPr>
            <w:r>
              <w:rPr>
                <w:rFonts w:cs="Calibri"/>
              </w:rPr>
              <w:t>Dans l'hypothèse où le Bénéficiaire identifierait des risques d'atteinte à ses secrets notamment au secret des affaires, et sous réserve qu'il adresse une demande à l'ADEME au moment de la demande d'aide (*), le contrat de financement pourra alors prévoir un régime de confidentialité permettant la limitation de la diffusion et de l'utilisation des documents, informations et des résultats faisant l'objet d'une confidentialité au seul personnel de l'ADEME et aux tiers autorisés par l'ADEME et soumis à confidentialité.</w:t>
            </w:r>
          </w:p>
          <w:p w14:paraId="256F219F" w14:textId="136536BC" w:rsidR="00A64FA2" w:rsidRDefault="00B06B42">
            <w:pPr>
              <w:spacing w:after="0"/>
              <w:rPr>
                <w:rFonts w:cs="Calibri"/>
              </w:rPr>
            </w:pPr>
            <w:r w:rsidRPr="51FC0A73">
              <w:rPr>
                <w:rFonts w:cs="Calibri"/>
              </w:rPr>
              <w:t>L'ADEME sera habilitée à publier une synthèse des résultats agrégés et non confidentiels.</w:t>
            </w:r>
          </w:p>
        </w:tc>
      </w:tr>
    </w:tbl>
    <w:p w14:paraId="256F21A1" w14:textId="77777777" w:rsidR="00A64FA2" w:rsidRDefault="00A64FA2">
      <w:pPr>
        <w:spacing w:after="0"/>
        <w:jc w:val="both"/>
        <w:rPr>
          <w:rFonts w:cs="Calibri"/>
          <w:sz w:val="20"/>
          <w:szCs w:val="20"/>
        </w:rPr>
      </w:pPr>
    </w:p>
    <w:sectPr w:rsidR="00A64FA2">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AC175" w14:textId="77777777" w:rsidR="00C35B99" w:rsidRDefault="00C35B99">
      <w:pPr>
        <w:spacing w:after="0"/>
      </w:pPr>
      <w:r>
        <w:separator/>
      </w:r>
    </w:p>
  </w:endnote>
  <w:endnote w:type="continuationSeparator" w:id="0">
    <w:p w14:paraId="7EE11510" w14:textId="77777777" w:rsidR="00C35B99" w:rsidRDefault="00C35B99">
      <w:pPr>
        <w:spacing w:after="0"/>
      </w:pPr>
      <w:r>
        <w:continuationSeparator/>
      </w:r>
    </w:p>
  </w:endnote>
  <w:endnote w:type="continuationNotice" w:id="1">
    <w:p w14:paraId="2CE4AEB8" w14:textId="77777777" w:rsidR="00C35B99" w:rsidRDefault="00C35B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A071" w14:textId="77777777" w:rsidR="00BB329A" w:rsidRDefault="00BB32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1520A" w14:textId="73092030" w:rsidR="00BB329A" w:rsidRDefault="00BB329A">
    <w:pPr>
      <w:pStyle w:val="Pieddepage"/>
      <w:jc w:val="center"/>
      <w:rPr>
        <w:caps/>
        <w:color w:val="4472C4" w:themeColor="accent1"/>
      </w:rPr>
    </w:pPr>
    <w:r w:rsidRPr="5E179DBD">
      <w:rPr>
        <w:caps/>
        <w:color w:val="4472C4" w:themeColor="accent1"/>
      </w:rPr>
      <w:fldChar w:fldCharType="begin"/>
    </w:r>
    <w:r w:rsidRPr="5E179DBD">
      <w:rPr>
        <w:caps/>
        <w:color w:val="4472C4" w:themeColor="accent1"/>
      </w:rPr>
      <w:instrText>PAGE   \* MERGEFORMAT</w:instrText>
    </w:r>
    <w:r w:rsidRPr="5E179DBD">
      <w:rPr>
        <w:caps/>
        <w:color w:val="4472C4" w:themeColor="accent1"/>
      </w:rPr>
      <w:fldChar w:fldCharType="separate"/>
    </w:r>
    <w:r w:rsidR="5E179DBD" w:rsidRPr="5E179DBD">
      <w:rPr>
        <w:caps/>
        <w:color w:val="4472C4" w:themeColor="accent1"/>
      </w:rPr>
      <w:t>2</w:t>
    </w:r>
    <w:r w:rsidRPr="5E179DBD">
      <w:rPr>
        <w:caps/>
        <w:color w:val="4472C4" w:themeColor="accent1"/>
      </w:rPr>
      <w:fldChar w:fldCharType="end"/>
    </w:r>
  </w:p>
  <w:p w14:paraId="256F2098" w14:textId="73092030" w:rsidR="00B06B42" w:rsidRDefault="00B06B42" w:rsidP="5E179DBD">
    <w:pPr>
      <w:spacing w:after="0"/>
      <w:rPr>
        <w:rFonts w:cs="Calibri"/>
        <w:color w:val="4472C4"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F45E" w14:textId="77777777" w:rsidR="00BB329A" w:rsidRDefault="00BB32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F3251" w14:textId="77777777" w:rsidR="00C35B99" w:rsidRDefault="00C35B99">
      <w:pPr>
        <w:spacing w:after="0"/>
      </w:pPr>
      <w:r>
        <w:rPr>
          <w:color w:val="000000"/>
        </w:rPr>
        <w:separator/>
      </w:r>
    </w:p>
  </w:footnote>
  <w:footnote w:type="continuationSeparator" w:id="0">
    <w:p w14:paraId="27CEB955" w14:textId="77777777" w:rsidR="00C35B99" w:rsidRDefault="00C35B99">
      <w:pPr>
        <w:spacing w:after="0"/>
      </w:pPr>
      <w:r>
        <w:continuationSeparator/>
      </w:r>
    </w:p>
  </w:footnote>
  <w:footnote w:type="continuationNotice" w:id="1">
    <w:p w14:paraId="22CDAF5C" w14:textId="77777777" w:rsidR="00C35B99" w:rsidRDefault="00C35B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CBC96" w14:textId="77777777" w:rsidR="00BB329A" w:rsidRDefault="00BB32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672F9676" w14:paraId="1E790DC5" w14:textId="77777777" w:rsidTr="672F9676">
      <w:trPr>
        <w:trHeight w:val="300"/>
      </w:trPr>
      <w:tc>
        <w:tcPr>
          <w:tcW w:w="4665" w:type="dxa"/>
        </w:tcPr>
        <w:p w14:paraId="6A636787" w14:textId="551E9D42" w:rsidR="672F9676" w:rsidRDefault="672F9676" w:rsidP="672F9676">
          <w:pPr>
            <w:pStyle w:val="En-tte"/>
            <w:ind w:left="-115"/>
          </w:pPr>
        </w:p>
      </w:tc>
      <w:tc>
        <w:tcPr>
          <w:tcW w:w="4665" w:type="dxa"/>
        </w:tcPr>
        <w:p w14:paraId="44C298B1" w14:textId="791B55E8" w:rsidR="672F9676" w:rsidRDefault="672F9676" w:rsidP="672F9676">
          <w:pPr>
            <w:pStyle w:val="En-tte"/>
            <w:jc w:val="center"/>
          </w:pPr>
        </w:p>
      </w:tc>
      <w:tc>
        <w:tcPr>
          <w:tcW w:w="4665" w:type="dxa"/>
        </w:tcPr>
        <w:p w14:paraId="10FBF952" w14:textId="7A998456" w:rsidR="672F9676" w:rsidRDefault="672F9676" w:rsidP="672F9676">
          <w:pPr>
            <w:pStyle w:val="En-tte"/>
            <w:ind w:right="-115"/>
            <w:jc w:val="right"/>
          </w:pPr>
        </w:p>
      </w:tc>
    </w:tr>
  </w:tbl>
  <w:p w14:paraId="10FBB5DA" w14:textId="5944199E" w:rsidR="672F9676" w:rsidRDefault="672F9676" w:rsidP="672F967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E400" w14:textId="77777777" w:rsidR="00BB329A" w:rsidRDefault="00BB32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0420F"/>
    <w:multiLevelType w:val="hybridMultilevel"/>
    <w:tmpl w:val="1F4E564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874446A"/>
    <w:multiLevelType w:val="multilevel"/>
    <w:tmpl w:val="BF5CE5A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93AEF6"/>
    <w:multiLevelType w:val="hybridMultilevel"/>
    <w:tmpl w:val="8B40BCF4"/>
    <w:lvl w:ilvl="0" w:tplc="7CFAF866">
      <w:start w:val="1"/>
      <w:numFmt w:val="bullet"/>
      <w:lvlText w:val="-"/>
      <w:lvlJc w:val="left"/>
      <w:pPr>
        <w:ind w:left="720" w:hanging="360"/>
      </w:pPr>
      <w:rPr>
        <w:rFonts w:ascii="Calibri" w:hAnsi="Calibri" w:hint="default"/>
      </w:rPr>
    </w:lvl>
    <w:lvl w:ilvl="1" w:tplc="11F2BB3E">
      <w:start w:val="1"/>
      <w:numFmt w:val="bullet"/>
      <w:lvlText w:val="o"/>
      <w:lvlJc w:val="left"/>
      <w:pPr>
        <w:ind w:left="1440" w:hanging="360"/>
      </w:pPr>
      <w:rPr>
        <w:rFonts w:ascii="Courier New" w:hAnsi="Courier New" w:hint="default"/>
      </w:rPr>
    </w:lvl>
    <w:lvl w:ilvl="2" w:tplc="B7B64E9E">
      <w:start w:val="1"/>
      <w:numFmt w:val="bullet"/>
      <w:lvlText w:val=""/>
      <w:lvlJc w:val="left"/>
      <w:pPr>
        <w:ind w:left="2160" w:hanging="360"/>
      </w:pPr>
      <w:rPr>
        <w:rFonts w:ascii="Wingdings" w:hAnsi="Wingdings" w:hint="default"/>
      </w:rPr>
    </w:lvl>
    <w:lvl w:ilvl="3" w:tplc="9A623596">
      <w:start w:val="1"/>
      <w:numFmt w:val="bullet"/>
      <w:lvlText w:val=""/>
      <w:lvlJc w:val="left"/>
      <w:pPr>
        <w:ind w:left="2880" w:hanging="360"/>
      </w:pPr>
      <w:rPr>
        <w:rFonts w:ascii="Symbol" w:hAnsi="Symbol" w:hint="default"/>
      </w:rPr>
    </w:lvl>
    <w:lvl w:ilvl="4" w:tplc="1C66DA44">
      <w:start w:val="1"/>
      <w:numFmt w:val="bullet"/>
      <w:lvlText w:val="o"/>
      <w:lvlJc w:val="left"/>
      <w:pPr>
        <w:ind w:left="3600" w:hanging="360"/>
      </w:pPr>
      <w:rPr>
        <w:rFonts w:ascii="Courier New" w:hAnsi="Courier New" w:hint="default"/>
      </w:rPr>
    </w:lvl>
    <w:lvl w:ilvl="5" w:tplc="1B32CA70">
      <w:start w:val="1"/>
      <w:numFmt w:val="bullet"/>
      <w:lvlText w:val=""/>
      <w:lvlJc w:val="left"/>
      <w:pPr>
        <w:ind w:left="4320" w:hanging="360"/>
      </w:pPr>
      <w:rPr>
        <w:rFonts w:ascii="Wingdings" w:hAnsi="Wingdings" w:hint="default"/>
      </w:rPr>
    </w:lvl>
    <w:lvl w:ilvl="6" w:tplc="E8FEECD8">
      <w:start w:val="1"/>
      <w:numFmt w:val="bullet"/>
      <w:lvlText w:val=""/>
      <w:lvlJc w:val="left"/>
      <w:pPr>
        <w:ind w:left="5040" w:hanging="360"/>
      </w:pPr>
      <w:rPr>
        <w:rFonts w:ascii="Symbol" w:hAnsi="Symbol" w:hint="default"/>
      </w:rPr>
    </w:lvl>
    <w:lvl w:ilvl="7" w:tplc="CC1A9F04">
      <w:start w:val="1"/>
      <w:numFmt w:val="bullet"/>
      <w:lvlText w:val="o"/>
      <w:lvlJc w:val="left"/>
      <w:pPr>
        <w:ind w:left="5760" w:hanging="360"/>
      </w:pPr>
      <w:rPr>
        <w:rFonts w:ascii="Courier New" w:hAnsi="Courier New" w:hint="default"/>
      </w:rPr>
    </w:lvl>
    <w:lvl w:ilvl="8" w:tplc="0D1C6FD2">
      <w:start w:val="1"/>
      <w:numFmt w:val="bullet"/>
      <w:lvlText w:val=""/>
      <w:lvlJc w:val="left"/>
      <w:pPr>
        <w:ind w:left="6480" w:hanging="360"/>
      </w:pPr>
      <w:rPr>
        <w:rFonts w:ascii="Wingdings" w:hAnsi="Wingdings" w:hint="default"/>
      </w:rPr>
    </w:lvl>
  </w:abstractNum>
  <w:abstractNum w:abstractNumId="3" w15:restartNumberingAfterBreak="0">
    <w:nsid w:val="2E3C7A98"/>
    <w:multiLevelType w:val="hybridMultilevel"/>
    <w:tmpl w:val="A336B92A"/>
    <w:lvl w:ilvl="0" w:tplc="17347522">
      <w:start w:val="1"/>
      <w:numFmt w:val="bullet"/>
      <w:lvlText w:val="-"/>
      <w:lvlJc w:val="left"/>
      <w:pPr>
        <w:ind w:left="720" w:hanging="360"/>
      </w:pPr>
      <w:rPr>
        <w:rFonts w:ascii="Calibri" w:hAnsi="Calibri" w:hint="default"/>
      </w:rPr>
    </w:lvl>
    <w:lvl w:ilvl="1" w:tplc="07CA20C4">
      <w:start w:val="1"/>
      <w:numFmt w:val="bullet"/>
      <w:lvlText w:val="o"/>
      <w:lvlJc w:val="left"/>
      <w:pPr>
        <w:ind w:left="1440" w:hanging="360"/>
      </w:pPr>
      <w:rPr>
        <w:rFonts w:ascii="Courier New" w:hAnsi="Courier New" w:hint="default"/>
      </w:rPr>
    </w:lvl>
    <w:lvl w:ilvl="2" w:tplc="6E6814BC">
      <w:start w:val="1"/>
      <w:numFmt w:val="bullet"/>
      <w:lvlText w:val=""/>
      <w:lvlJc w:val="left"/>
      <w:pPr>
        <w:ind w:left="2160" w:hanging="360"/>
      </w:pPr>
      <w:rPr>
        <w:rFonts w:ascii="Wingdings" w:hAnsi="Wingdings" w:hint="default"/>
      </w:rPr>
    </w:lvl>
    <w:lvl w:ilvl="3" w:tplc="F8CE92DE">
      <w:start w:val="1"/>
      <w:numFmt w:val="bullet"/>
      <w:lvlText w:val=""/>
      <w:lvlJc w:val="left"/>
      <w:pPr>
        <w:ind w:left="2880" w:hanging="360"/>
      </w:pPr>
      <w:rPr>
        <w:rFonts w:ascii="Symbol" w:hAnsi="Symbol" w:hint="default"/>
      </w:rPr>
    </w:lvl>
    <w:lvl w:ilvl="4" w:tplc="C980DD1A">
      <w:start w:val="1"/>
      <w:numFmt w:val="bullet"/>
      <w:lvlText w:val="o"/>
      <w:lvlJc w:val="left"/>
      <w:pPr>
        <w:ind w:left="3600" w:hanging="360"/>
      </w:pPr>
      <w:rPr>
        <w:rFonts w:ascii="Courier New" w:hAnsi="Courier New" w:hint="default"/>
      </w:rPr>
    </w:lvl>
    <w:lvl w:ilvl="5" w:tplc="C4E29188">
      <w:start w:val="1"/>
      <w:numFmt w:val="bullet"/>
      <w:lvlText w:val=""/>
      <w:lvlJc w:val="left"/>
      <w:pPr>
        <w:ind w:left="4320" w:hanging="360"/>
      </w:pPr>
      <w:rPr>
        <w:rFonts w:ascii="Wingdings" w:hAnsi="Wingdings" w:hint="default"/>
      </w:rPr>
    </w:lvl>
    <w:lvl w:ilvl="6" w:tplc="B4EA02BA">
      <w:start w:val="1"/>
      <w:numFmt w:val="bullet"/>
      <w:lvlText w:val=""/>
      <w:lvlJc w:val="left"/>
      <w:pPr>
        <w:ind w:left="5040" w:hanging="360"/>
      </w:pPr>
      <w:rPr>
        <w:rFonts w:ascii="Symbol" w:hAnsi="Symbol" w:hint="default"/>
      </w:rPr>
    </w:lvl>
    <w:lvl w:ilvl="7" w:tplc="146CF840">
      <w:start w:val="1"/>
      <w:numFmt w:val="bullet"/>
      <w:lvlText w:val="o"/>
      <w:lvlJc w:val="left"/>
      <w:pPr>
        <w:ind w:left="5760" w:hanging="360"/>
      </w:pPr>
      <w:rPr>
        <w:rFonts w:ascii="Courier New" w:hAnsi="Courier New" w:hint="default"/>
      </w:rPr>
    </w:lvl>
    <w:lvl w:ilvl="8" w:tplc="680E7262">
      <w:start w:val="1"/>
      <w:numFmt w:val="bullet"/>
      <w:lvlText w:val=""/>
      <w:lvlJc w:val="left"/>
      <w:pPr>
        <w:ind w:left="6480" w:hanging="360"/>
      </w:pPr>
      <w:rPr>
        <w:rFonts w:ascii="Wingdings" w:hAnsi="Wingdings" w:hint="default"/>
      </w:rPr>
    </w:lvl>
  </w:abstractNum>
  <w:abstractNum w:abstractNumId="4" w15:restartNumberingAfterBreak="0">
    <w:nsid w:val="357C7FDC"/>
    <w:multiLevelType w:val="hybridMultilevel"/>
    <w:tmpl w:val="9F62DCE0"/>
    <w:lvl w:ilvl="0" w:tplc="1092FFD4">
      <w:start w:val="1"/>
      <w:numFmt w:val="bullet"/>
      <w:lvlText w:val="Ø"/>
      <w:lvlJc w:val="left"/>
      <w:pPr>
        <w:ind w:left="720" w:hanging="360"/>
      </w:pPr>
      <w:rPr>
        <w:rFonts w:ascii="Wingdings" w:hAnsi="Wingdings" w:hint="default"/>
      </w:rPr>
    </w:lvl>
    <w:lvl w:ilvl="1" w:tplc="2248A68C">
      <w:start w:val="1"/>
      <w:numFmt w:val="bullet"/>
      <w:lvlText w:val="o"/>
      <w:lvlJc w:val="left"/>
      <w:pPr>
        <w:ind w:left="1440" w:hanging="360"/>
      </w:pPr>
      <w:rPr>
        <w:rFonts w:ascii="Courier New" w:hAnsi="Courier New" w:hint="default"/>
      </w:rPr>
    </w:lvl>
    <w:lvl w:ilvl="2" w:tplc="E740FF1E">
      <w:start w:val="1"/>
      <w:numFmt w:val="bullet"/>
      <w:lvlText w:val=""/>
      <w:lvlJc w:val="left"/>
      <w:pPr>
        <w:ind w:left="2160" w:hanging="360"/>
      </w:pPr>
      <w:rPr>
        <w:rFonts w:ascii="Wingdings" w:hAnsi="Wingdings" w:hint="default"/>
      </w:rPr>
    </w:lvl>
    <w:lvl w:ilvl="3" w:tplc="BE5E9E8E">
      <w:start w:val="1"/>
      <w:numFmt w:val="bullet"/>
      <w:lvlText w:val=""/>
      <w:lvlJc w:val="left"/>
      <w:pPr>
        <w:ind w:left="2880" w:hanging="360"/>
      </w:pPr>
      <w:rPr>
        <w:rFonts w:ascii="Symbol" w:hAnsi="Symbol" w:hint="default"/>
      </w:rPr>
    </w:lvl>
    <w:lvl w:ilvl="4" w:tplc="5162A700">
      <w:start w:val="1"/>
      <w:numFmt w:val="bullet"/>
      <w:lvlText w:val="o"/>
      <w:lvlJc w:val="left"/>
      <w:pPr>
        <w:ind w:left="3600" w:hanging="360"/>
      </w:pPr>
      <w:rPr>
        <w:rFonts w:ascii="Courier New" w:hAnsi="Courier New" w:hint="default"/>
      </w:rPr>
    </w:lvl>
    <w:lvl w:ilvl="5" w:tplc="4BD497E6">
      <w:start w:val="1"/>
      <w:numFmt w:val="bullet"/>
      <w:lvlText w:val=""/>
      <w:lvlJc w:val="left"/>
      <w:pPr>
        <w:ind w:left="4320" w:hanging="360"/>
      </w:pPr>
      <w:rPr>
        <w:rFonts w:ascii="Wingdings" w:hAnsi="Wingdings" w:hint="default"/>
      </w:rPr>
    </w:lvl>
    <w:lvl w:ilvl="6" w:tplc="C67E8274">
      <w:start w:val="1"/>
      <w:numFmt w:val="bullet"/>
      <w:lvlText w:val=""/>
      <w:lvlJc w:val="left"/>
      <w:pPr>
        <w:ind w:left="5040" w:hanging="360"/>
      </w:pPr>
      <w:rPr>
        <w:rFonts w:ascii="Symbol" w:hAnsi="Symbol" w:hint="default"/>
      </w:rPr>
    </w:lvl>
    <w:lvl w:ilvl="7" w:tplc="4022AEA0">
      <w:start w:val="1"/>
      <w:numFmt w:val="bullet"/>
      <w:lvlText w:val="o"/>
      <w:lvlJc w:val="left"/>
      <w:pPr>
        <w:ind w:left="5760" w:hanging="360"/>
      </w:pPr>
      <w:rPr>
        <w:rFonts w:ascii="Courier New" w:hAnsi="Courier New" w:hint="default"/>
      </w:rPr>
    </w:lvl>
    <w:lvl w:ilvl="8" w:tplc="E5DE391E">
      <w:start w:val="1"/>
      <w:numFmt w:val="bullet"/>
      <w:lvlText w:val=""/>
      <w:lvlJc w:val="left"/>
      <w:pPr>
        <w:ind w:left="6480" w:hanging="360"/>
      </w:pPr>
      <w:rPr>
        <w:rFonts w:ascii="Wingdings" w:hAnsi="Wingdings" w:hint="default"/>
      </w:rPr>
    </w:lvl>
  </w:abstractNum>
  <w:abstractNum w:abstractNumId="5" w15:restartNumberingAfterBreak="0">
    <w:nsid w:val="45A053AC"/>
    <w:multiLevelType w:val="multilevel"/>
    <w:tmpl w:val="6C7EB4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0F114E1"/>
    <w:multiLevelType w:val="multilevel"/>
    <w:tmpl w:val="63C637EE"/>
    <w:lvl w:ilvl="0">
      <w:numFmt w:val="bullet"/>
      <w:lvlText w:val="-"/>
      <w:lvlJc w:val="left"/>
      <w:pPr>
        <w:ind w:left="720" w:hanging="360"/>
      </w:pPr>
      <w:rPr>
        <w:rFonts w:ascii="Calibri Light" w:eastAsia="Calibri"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16996831">
    <w:abstractNumId w:val="4"/>
  </w:num>
  <w:num w:numId="2" w16cid:durableId="1303775361">
    <w:abstractNumId w:val="2"/>
  </w:num>
  <w:num w:numId="3" w16cid:durableId="415980048">
    <w:abstractNumId w:val="3"/>
  </w:num>
  <w:num w:numId="4" w16cid:durableId="176045255">
    <w:abstractNumId w:val="6"/>
  </w:num>
  <w:num w:numId="5" w16cid:durableId="1013260074">
    <w:abstractNumId w:val="5"/>
  </w:num>
  <w:num w:numId="6" w16cid:durableId="1675916939">
    <w:abstractNumId w:val="1"/>
  </w:num>
  <w:num w:numId="7" w16cid:durableId="333606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IRIOT Sarah">
    <w15:presenceInfo w15:providerId="AD" w15:userId="S::Sarah.THIRIOT@ademe.fr::92b39d06-72f0-4059-97ec-c005ac5dc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A2"/>
    <w:rsid w:val="000262D6"/>
    <w:rsid w:val="00036564"/>
    <w:rsid w:val="00093125"/>
    <w:rsid w:val="00094683"/>
    <w:rsid w:val="000B1A60"/>
    <w:rsid w:val="000C12B6"/>
    <w:rsid w:val="000E616E"/>
    <w:rsid w:val="001839A1"/>
    <w:rsid w:val="00193B8C"/>
    <w:rsid w:val="001B40FB"/>
    <w:rsid w:val="001E110E"/>
    <w:rsid w:val="001F611D"/>
    <w:rsid w:val="002036DB"/>
    <w:rsid w:val="00212FCB"/>
    <w:rsid w:val="002829AF"/>
    <w:rsid w:val="0036731A"/>
    <w:rsid w:val="003962F2"/>
    <w:rsid w:val="003B161B"/>
    <w:rsid w:val="00453417"/>
    <w:rsid w:val="00470E0B"/>
    <w:rsid w:val="004C275F"/>
    <w:rsid w:val="00550E9A"/>
    <w:rsid w:val="00553C97"/>
    <w:rsid w:val="005C4475"/>
    <w:rsid w:val="006F1FAD"/>
    <w:rsid w:val="007263FC"/>
    <w:rsid w:val="00746CE3"/>
    <w:rsid w:val="00795AAD"/>
    <w:rsid w:val="007B2185"/>
    <w:rsid w:val="0080102C"/>
    <w:rsid w:val="00947279"/>
    <w:rsid w:val="00986564"/>
    <w:rsid w:val="00A1700D"/>
    <w:rsid w:val="00A64FA2"/>
    <w:rsid w:val="00A7728E"/>
    <w:rsid w:val="00B06B42"/>
    <w:rsid w:val="00B16C3A"/>
    <w:rsid w:val="00B34CF1"/>
    <w:rsid w:val="00BB329A"/>
    <w:rsid w:val="00BB4C89"/>
    <w:rsid w:val="00BF13DD"/>
    <w:rsid w:val="00C31848"/>
    <w:rsid w:val="00C35B99"/>
    <w:rsid w:val="00C3717B"/>
    <w:rsid w:val="00C56678"/>
    <w:rsid w:val="00C932F9"/>
    <w:rsid w:val="00C93D89"/>
    <w:rsid w:val="00CD0681"/>
    <w:rsid w:val="00CD33B5"/>
    <w:rsid w:val="00CE1A1C"/>
    <w:rsid w:val="00D32A26"/>
    <w:rsid w:val="00D47AD0"/>
    <w:rsid w:val="00DB34EE"/>
    <w:rsid w:val="00DC587A"/>
    <w:rsid w:val="00DD34BB"/>
    <w:rsid w:val="00DF4CC2"/>
    <w:rsid w:val="00E61E41"/>
    <w:rsid w:val="00E91E82"/>
    <w:rsid w:val="00EA69FA"/>
    <w:rsid w:val="00EC6217"/>
    <w:rsid w:val="00F80A75"/>
    <w:rsid w:val="00FD6202"/>
    <w:rsid w:val="00FF6B34"/>
    <w:rsid w:val="03F9756E"/>
    <w:rsid w:val="04B006BF"/>
    <w:rsid w:val="07B41E3A"/>
    <w:rsid w:val="0BBA0974"/>
    <w:rsid w:val="0BDE7A3D"/>
    <w:rsid w:val="0D68A49C"/>
    <w:rsid w:val="0E3DC0A8"/>
    <w:rsid w:val="0E7CC3E5"/>
    <w:rsid w:val="0E98D4E3"/>
    <w:rsid w:val="10D6B8E9"/>
    <w:rsid w:val="12D72852"/>
    <w:rsid w:val="13FD9418"/>
    <w:rsid w:val="149808AF"/>
    <w:rsid w:val="1612B279"/>
    <w:rsid w:val="163D1CC4"/>
    <w:rsid w:val="16F397EA"/>
    <w:rsid w:val="1783D72A"/>
    <w:rsid w:val="17AE82DA"/>
    <w:rsid w:val="189C3A73"/>
    <w:rsid w:val="1F6BEE13"/>
    <w:rsid w:val="1F7F36D0"/>
    <w:rsid w:val="1FE7AA24"/>
    <w:rsid w:val="213A2ACA"/>
    <w:rsid w:val="21EDB441"/>
    <w:rsid w:val="22492813"/>
    <w:rsid w:val="252D81B9"/>
    <w:rsid w:val="26761AE3"/>
    <w:rsid w:val="2770868D"/>
    <w:rsid w:val="2870EA22"/>
    <w:rsid w:val="28932DE1"/>
    <w:rsid w:val="2C6F4240"/>
    <w:rsid w:val="2D803FBA"/>
    <w:rsid w:val="2D8BAF00"/>
    <w:rsid w:val="2E989A50"/>
    <w:rsid w:val="2FD7A60F"/>
    <w:rsid w:val="318B3890"/>
    <w:rsid w:val="3190EB36"/>
    <w:rsid w:val="3420344C"/>
    <w:rsid w:val="34BC5920"/>
    <w:rsid w:val="35DF7157"/>
    <w:rsid w:val="36BA3949"/>
    <w:rsid w:val="37C2EB2B"/>
    <w:rsid w:val="3B308BBB"/>
    <w:rsid w:val="3CCC5C1C"/>
    <w:rsid w:val="3EDEC277"/>
    <w:rsid w:val="3EFA72A4"/>
    <w:rsid w:val="40FE8483"/>
    <w:rsid w:val="41BFCEFB"/>
    <w:rsid w:val="425C5903"/>
    <w:rsid w:val="4370C3E4"/>
    <w:rsid w:val="438169C9"/>
    <w:rsid w:val="447D7919"/>
    <w:rsid w:val="45A1E5E9"/>
    <w:rsid w:val="4693401E"/>
    <w:rsid w:val="46B734B6"/>
    <w:rsid w:val="46C7E3A8"/>
    <w:rsid w:val="4861EDA1"/>
    <w:rsid w:val="49FDBE02"/>
    <w:rsid w:val="4E1A392D"/>
    <w:rsid w:val="4EC3BF6A"/>
    <w:rsid w:val="4F591300"/>
    <w:rsid w:val="50391198"/>
    <w:rsid w:val="51FC0A73"/>
    <w:rsid w:val="5331724F"/>
    <w:rsid w:val="56DA4A05"/>
    <w:rsid w:val="57451DE6"/>
    <w:rsid w:val="579B0E5D"/>
    <w:rsid w:val="59FE6E27"/>
    <w:rsid w:val="5A0678AA"/>
    <w:rsid w:val="5B9CA737"/>
    <w:rsid w:val="5C7B6439"/>
    <w:rsid w:val="5E17349A"/>
    <w:rsid w:val="5E179DBD"/>
    <w:rsid w:val="5E70F796"/>
    <w:rsid w:val="5FF7B600"/>
    <w:rsid w:val="60337638"/>
    <w:rsid w:val="62DCDC96"/>
    <w:rsid w:val="672F9676"/>
    <w:rsid w:val="6742EA4E"/>
    <w:rsid w:val="6780F9EB"/>
    <w:rsid w:val="68995284"/>
    <w:rsid w:val="691CCA4C"/>
    <w:rsid w:val="696CCBDA"/>
    <w:rsid w:val="6C546B0E"/>
    <w:rsid w:val="6D5006DA"/>
    <w:rsid w:val="6DB14C59"/>
    <w:rsid w:val="6EFB0E41"/>
    <w:rsid w:val="6F15D4CD"/>
    <w:rsid w:val="70EDBE0B"/>
    <w:rsid w:val="7232AF03"/>
    <w:rsid w:val="7448466E"/>
    <w:rsid w:val="7B8063F9"/>
    <w:rsid w:val="7CA527AA"/>
    <w:rsid w:val="7DF5099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208D"/>
  <w15:docId w15:val="{6CFBFB45-D7D0-4B3C-AC10-82AE57AC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fr-FR"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Normal"/>
    <w:next w:val="Normal"/>
    <w:uiPriority w:val="9"/>
    <w:semiHidden/>
    <w:unhideWhenUsed/>
    <w:qFormat/>
    <w:pPr>
      <w:widowControl w:val="0"/>
      <w:suppressAutoHyphens w:val="0"/>
      <w:autoSpaceDE w:val="0"/>
      <w:spacing w:before="92" w:after="0"/>
      <w:ind w:left="792"/>
      <w:outlineLvl w:val="1"/>
    </w:pPr>
    <w:rPr>
      <w:rFonts w:ascii="Arial" w:eastAsia="Times New Roman" w:hAnsi="Arial" w:cs="Arial"/>
      <w:b/>
      <w:bCs/>
      <w:i/>
      <w:iCs/>
      <w:kern w:val="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Pr>
      <w:sz w:val="16"/>
      <w:szCs w:val="16"/>
    </w:rPr>
  </w:style>
  <w:style w:type="paragraph" w:styleId="Commentaire">
    <w:name w:val="annotation text"/>
    <w:basedOn w:val="Normal"/>
    <w:rPr>
      <w:kern w:val="0"/>
      <w:sz w:val="20"/>
      <w:szCs w:val="20"/>
    </w:rPr>
  </w:style>
  <w:style w:type="character" w:customStyle="1" w:styleId="CommentaireCar">
    <w:name w:val="Commentaire Car"/>
    <w:basedOn w:val="Policepardfaut"/>
    <w:rPr>
      <w:kern w:val="0"/>
      <w:sz w:val="20"/>
      <w:szCs w:val="20"/>
    </w:rPr>
  </w:style>
  <w:style w:type="character" w:styleId="Lienhypertexte">
    <w:name w:val="Hyperlink"/>
    <w:basedOn w:val="Policepardfaut"/>
    <w:rPr>
      <w:color w:val="0563C1"/>
      <w:u w:val="single"/>
    </w:rPr>
  </w:style>
  <w:style w:type="character" w:customStyle="1" w:styleId="cf01">
    <w:name w:val="cf01"/>
    <w:basedOn w:val="Policepardfaut"/>
    <w:rPr>
      <w:rFonts w:ascii="Segoe UI" w:hAnsi="Segoe UI" w:cs="Segoe UI"/>
      <w:sz w:val="18"/>
      <w:szCs w:val="18"/>
    </w:rPr>
  </w:style>
  <w:style w:type="paragraph" w:styleId="Paragraphedeliste">
    <w:name w:val="List Paragraph"/>
    <w:basedOn w:val="Normal"/>
    <w:qFormat/>
    <w:pPr>
      <w:ind w:left="720"/>
      <w:contextualSpacing/>
    </w:pPr>
  </w:style>
  <w:style w:type="character" w:styleId="Mentionnonrsolue">
    <w:name w:val="Unresolved Mention"/>
    <w:basedOn w:val="Policepardfaut"/>
    <w:rPr>
      <w:color w:val="605E5C"/>
      <w:shd w:val="clear" w:color="auto" w:fill="E1DFDD"/>
    </w:rPr>
  </w:style>
  <w:style w:type="character" w:customStyle="1" w:styleId="ParagraphedelisteCar">
    <w:name w:val="Paragraphe de liste Car"/>
    <w:basedOn w:val="Policepardfaut"/>
  </w:style>
  <w:style w:type="paragraph" w:styleId="Rvision">
    <w:name w:val="Revision"/>
    <w:pPr>
      <w:spacing w:after="0"/>
    </w:pPr>
  </w:style>
  <w:style w:type="paragraph" w:styleId="Objetducommentaire">
    <w:name w:val="annotation subject"/>
    <w:basedOn w:val="Commentaire"/>
    <w:next w:val="Commentaire"/>
    <w:rPr>
      <w:b/>
      <w:bCs/>
      <w:kern w:val="3"/>
    </w:rPr>
  </w:style>
  <w:style w:type="character" w:customStyle="1" w:styleId="CommentaireCar1">
    <w:name w:val="Commentaire Car1"/>
    <w:basedOn w:val="Policepardfaut"/>
    <w:rPr>
      <w:kern w:val="0"/>
      <w:sz w:val="20"/>
      <w:szCs w:val="20"/>
    </w:rPr>
  </w:style>
  <w:style w:type="character" w:customStyle="1" w:styleId="ObjetducommentaireCar">
    <w:name w:val="Objet du commentaire Car"/>
    <w:basedOn w:val="CommentaireCar1"/>
    <w:rPr>
      <w:b/>
      <w:bCs/>
      <w:kern w:val="0"/>
      <w:sz w:val="20"/>
      <w:szCs w:val="20"/>
    </w:rPr>
  </w:style>
  <w:style w:type="character" w:customStyle="1" w:styleId="Titre2Car">
    <w:name w:val="Titre 2 Car"/>
    <w:basedOn w:val="Policepardfaut"/>
    <w:rPr>
      <w:rFonts w:ascii="Arial" w:eastAsia="Times New Roman" w:hAnsi="Arial" w:cs="Arial"/>
      <w:b/>
      <w:bCs/>
      <w:i/>
      <w:iCs/>
      <w:kern w:val="0"/>
      <w:sz w:val="28"/>
      <w:szCs w:val="28"/>
      <w:lang w:eastAsia="fr-FR"/>
    </w:rPr>
  </w:style>
  <w:style w:type="character" w:customStyle="1" w:styleId="cf11">
    <w:name w:val="cf11"/>
    <w:basedOn w:val="Policepardfaut"/>
    <w:rPr>
      <w:rFonts w:ascii="Segoe UI" w:hAnsi="Segoe UI" w:cs="Segoe UI"/>
      <w:sz w:val="18"/>
      <w:szCs w:val="18"/>
    </w:r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style>
  <w:style w:type="paragraph" w:styleId="Pieddepage">
    <w:name w:val="footer"/>
    <w:basedOn w:val="Normal"/>
    <w:uiPriority w:val="99"/>
    <w:pPr>
      <w:tabs>
        <w:tab w:val="center" w:pos="4536"/>
        <w:tab w:val="right" w:pos="9072"/>
      </w:tabs>
      <w:spacing w:after="0"/>
    </w:pPr>
  </w:style>
  <w:style w:type="character" w:customStyle="1" w:styleId="PieddepageCar">
    <w:name w:val="Pied de page Car"/>
    <w:basedOn w:val="Policepardfaut"/>
    <w:uiPriority w:val="99"/>
  </w:style>
  <w:style w:type="character" w:customStyle="1" w:styleId="ui-provider">
    <w:name w:val="ui-provider"/>
    <w:basedOn w:val="Policepardfaut"/>
  </w:style>
  <w:style w:type="character" w:styleId="Lienhypertextesuivivisit">
    <w:name w:val="FollowedHyperlink"/>
    <w:basedOn w:val="Policepardfaut"/>
    <w:rPr>
      <w:color w:val="954F72"/>
      <w:u w:val="single"/>
    </w:rPr>
  </w:style>
  <w:style w:type="paragraph" w:styleId="NormalWeb">
    <w:name w:val="Normal (Web)"/>
    <w:basedOn w:val="Normal"/>
    <w:pPr>
      <w:suppressAutoHyphens w:val="0"/>
      <w:spacing w:before="100" w:after="100"/>
    </w:pPr>
    <w:rPr>
      <w:rFonts w:ascii="Times New Roman" w:eastAsia="Times New Roman" w:hAnsi="Times New Roman"/>
      <w:kern w:val="0"/>
      <w:sz w:val="24"/>
      <w:szCs w:val="24"/>
      <w:lang w:eastAsia="fr-FR"/>
    </w:rPr>
  </w:style>
  <w:style w:type="paragraph" w:customStyle="1" w:styleId="xmsonormal">
    <w:name w:val="x_msonormal"/>
    <w:basedOn w:val="Normal"/>
    <w:pPr>
      <w:suppressAutoHyphens w:val="0"/>
      <w:spacing w:after="0"/>
    </w:pPr>
    <w:rPr>
      <w:rFonts w:cs="Calibri"/>
      <w:kern w:val="0"/>
      <w:lang w:eastAsia="fr-FR"/>
    </w:rPr>
  </w:style>
  <w:style w:type="paragraph" w:customStyle="1" w:styleId="xmsolistparagraph">
    <w:name w:val="x_msolistparagraph"/>
    <w:basedOn w:val="Normal"/>
    <w:pPr>
      <w:suppressAutoHyphens w:val="0"/>
      <w:spacing w:after="0"/>
      <w:ind w:left="720"/>
    </w:pPr>
    <w:rPr>
      <w:rFonts w:cs="Calibri"/>
      <w:kern w:val="0"/>
      <w:lang w:eastAsia="fr-FR"/>
    </w:rPr>
  </w:style>
  <w:style w:type="table" w:styleId="Grilledutableau">
    <w:name w:val="Table Grid"/>
    <w:basedOn w:val="Tableau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212FCB"/>
    <w:pPr>
      <w:suppressAutoHyphens w:val="0"/>
      <w:autoSpaceDN/>
      <w:spacing w:before="100" w:beforeAutospacing="1" w:after="100" w:afterAutospacing="1"/>
    </w:pPr>
    <w:rPr>
      <w:rFonts w:ascii="Times New Roman" w:eastAsia="Times New Roman" w:hAnsi="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1102">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377241364">
      <w:bodyDiv w:val="1"/>
      <w:marLeft w:val="0"/>
      <w:marRight w:val="0"/>
      <w:marTop w:val="0"/>
      <w:marBottom w:val="0"/>
      <w:divBdr>
        <w:top w:val="none" w:sz="0" w:space="0" w:color="auto"/>
        <w:left w:val="none" w:sz="0" w:space="0" w:color="auto"/>
        <w:bottom w:val="none" w:sz="0" w:space="0" w:color="auto"/>
        <w:right w:val="none" w:sz="0" w:space="0" w:color="auto"/>
      </w:divBdr>
    </w:div>
    <w:div w:id="1629817711">
      <w:bodyDiv w:val="1"/>
      <w:marLeft w:val="0"/>
      <w:marRight w:val="0"/>
      <w:marTop w:val="0"/>
      <w:marBottom w:val="0"/>
      <w:divBdr>
        <w:top w:val="none" w:sz="0" w:space="0" w:color="auto"/>
        <w:left w:val="none" w:sz="0" w:space="0" w:color="auto"/>
        <w:bottom w:val="none" w:sz="0" w:space="0" w:color="auto"/>
        <w:right w:val="none" w:sz="0" w:space="0" w:color="auto"/>
      </w:divBdr>
      <w:divsChild>
        <w:div w:id="1413894086">
          <w:marLeft w:val="0"/>
          <w:marRight w:val="0"/>
          <w:marTop w:val="0"/>
          <w:marBottom w:val="0"/>
          <w:divBdr>
            <w:top w:val="none" w:sz="0" w:space="0" w:color="auto"/>
            <w:left w:val="none" w:sz="0" w:space="0" w:color="auto"/>
            <w:bottom w:val="none" w:sz="0" w:space="0" w:color="auto"/>
            <w:right w:val="none" w:sz="0" w:space="0" w:color="auto"/>
          </w:divBdr>
        </w:div>
        <w:div w:id="18468231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deme.fr/sites/default/files/assets/documents/regles-generales-attribution-aides-ademe-2022.pdf"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3159</Words>
  <Characters>17380</Characters>
  <Application>Microsoft Office Word</Application>
  <DocSecurity>0</DocSecurity>
  <Lines>144</Lines>
  <Paragraphs>40</Paragraphs>
  <ScaleCrop>false</ScaleCrop>
  <Company>ADEME</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User98</dc:creator>
  <cp:keywords/>
  <dc:description/>
  <cp:lastModifiedBy>THIRIOT Sarah</cp:lastModifiedBy>
  <cp:revision>2</cp:revision>
  <cp:lastPrinted>2023-12-08T08:59:00Z</cp:lastPrinted>
  <dcterms:created xsi:type="dcterms:W3CDTF">2024-04-29T13:26:00Z</dcterms:created>
  <dcterms:modified xsi:type="dcterms:W3CDTF">2024-04-29T13:26:00Z</dcterms:modified>
</cp:coreProperties>
</file>