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4B6B" w14:textId="77777777" w:rsidR="0004462C" w:rsidRDefault="00081831">
      <w:pPr>
        <w:pStyle w:val="Standard"/>
        <w:rPr>
          <w:rFonts w:hint="eastAsia"/>
        </w:rPr>
      </w:pPr>
      <w:r>
        <w:rPr>
          <w:noProof/>
        </w:rPr>
        <w:drawing>
          <wp:anchor distT="0" distB="0" distL="114300" distR="114300" simplePos="0" relativeHeight="251662848" behindDoc="1" locked="0" layoutInCell="1" allowOverlap="1" wp14:anchorId="04F54B6B" wp14:editId="04F54B6C">
            <wp:simplePos x="0" y="0"/>
            <wp:positionH relativeFrom="column">
              <wp:posOffset>843835</wp:posOffset>
            </wp:positionH>
            <wp:positionV relativeFrom="paragraph">
              <wp:posOffset>-360721</wp:posOffset>
            </wp:positionV>
            <wp:extent cx="2520717" cy="489240"/>
            <wp:effectExtent l="0" t="0" r="0" b="6060"/>
            <wp:wrapNone/>
            <wp:docPr id="1" name="For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520717" cy="489240"/>
                    </a:xfrm>
                    <a:prstGeom prst="rect">
                      <a:avLst/>
                    </a:prstGeom>
                    <a:noFill/>
                    <a:ln>
                      <a:noFill/>
                      <a:prstDash/>
                    </a:ln>
                  </pic:spPr>
                </pic:pic>
              </a:graphicData>
            </a:graphic>
          </wp:anchor>
        </w:drawing>
      </w:r>
      <w:r>
        <w:t xml:space="preserve">               </w:t>
      </w:r>
      <w:r>
        <w:rPr>
          <w:noProof/>
        </w:rPr>
        <w:drawing>
          <wp:anchor distT="0" distB="0" distL="114300" distR="114300" simplePos="0" relativeHeight="251663872" behindDoc="1" locked="0" layoutInCell="1" allowOverlap="1" wp14:anchorId="04F54B6D" wp14:editId="04F54B6E">
            <wp:simplePos x="0" y="0"/>
            <wp:positionH relativeFrom="column">
              <wp:posOffset>3544561</wp:posOffset>
            </wp:positionH>
            <wp:positionV relativeFrom="paragraph">
              <wp:posOffset>-540355</wp:posOffset>
            </wp:positionV>
            <wp:extent cx="1980361" cy="689759"/>
            <wp:effectExtent l="0" t="0" r="839" b="0"/>
            <wp:wrapNone/>
            <wp:docPr id="2" name="For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980361" cy="689759"/>
                    </a:xfrm>
                    <a:prstGeom prst="rect">
                      <a:avLst/>
                    </a:prstGeom>
                    <a:noFill/>
                    <a:ln>
                      <a:noFill/>
                      <a:prstDash/>
                    </a:ln>
                  </pic:spPr>
                </pic:pic>
              </a:graphicData>
            </a:graphic>
          </wp:anchor>
        </w:drawing>
      </w:r>
    </w:p>
    <w:p w14:paraId="04F54B6C" w14:textId="77777777" w:rsidR="0004462C" w:rsidRDefault="00081831">
      <w:pPr>
        <w:pStyle w:val="Standard"/>
        <w:rPr>
          <w:rFonts w:hint="eastAsia"/>
        </w:rPr>
      </w:pPr>
      <w:r>
        <w:rPr>
          <w:noProof/>
        </w:rPr>
        <w:drawing>
          <wp:anchor distT="0" distB="0" distL="114300" distR="114300" simplePos="0" relativeHeight="251655680" behindDoc="0" locked="0" layoutInCell="1" allowOverlap="1" wp14:anchorId="04F54B6F" wp14:editId="04F54B70">
            <wp:simplePos x="0" y="0"/>
            <wp:positionH relativeFrom="column">
              <wp:posOffset>1203844</wp:posOffset>
            </wp:positionH>
            <wp:positionV relativeFrom="paragraph">
              <wp:posOffset>4315</wp:posOffset>
            </wp:positionV>
            <wp:extent cx="1259997" cy="501118"/>
            <wp:effectExtent l="0" t="0" r="0" b="0"/>
            <wp:wrapNone/>
            <wp:docPr id="3" name="For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extLst>
                        <a:ext uri="{96DAC541-7B7A-43D3-8B79-37D633B846F1}">
                          <asvg:svgBlip xmlns:asvg="http://schemas.microsoft.com/office/drawing/2016/SVG/main" r:embed="rId11"/>
                        </a:ext>
                      </a:extLst>
                    </a:blip>
                    <a:srcRect/>
                    <a:stretch>
                      <a:fillRect/>
                    </a:stretch>
                  </pic:blipFill>
                  <pic:spPr>
                    <a:xfrm>
                      <a:off x="0" y="0"/>
                      <a:ext cx="1259997" cy="501118"/>
                    </a:xfrm>
                    <a:prstGeom prst="rect">
                      <a:avLst/>
                    </a:prstGeom>
                    <a:noFill/>
                    <a:ln>
                      <a:noFill/>
                      <a:prstDash/>
                    </a:ln>
                  </pic:spPr>
                </pic:pic>
              </a:graphicData>
            </a:graphic>
          </wp:anchor>
        </w:drawing>
      </w:r>
      <w:r>
        <w:rPr>
          <w:noProof/>
        </w:rPr>
        <w:drawing>
          <wp:anchor distT="0" distB="0" distL="114300" distR="114300" simplePos="0" relativeHeight="251652608" behindDoc="0" locked="0" layoutInCell="1" allowOverlap="1" wp14:anchorId="04F54B71" wp14:editId="04F54B72">
            <wp:simplePos x="0" y="0"/>
            <wp:positionH relativeFrom="column">
              <wp:posOffset>3922556</wp:posOffset>
            </wp:positionH>
            <wp:positionV relativeFrom="paragraph">
              <wp:posOffset>93963</wp:posOffset>
            </wp:positionV>
            <wp:extent cx="882716" cy="450716"/>
            <wp:effectExtent l="0" t="0" r="0" b="6484"/>
            <wp:wrapSquare wrapText="bothSides"/>
            <wp:docPr id="4"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882716" cy="450716"/>
                    </a:xfrm>
                    <a:prstGeom prst="rect">
                      <a:avLst/>
                    </a:prstGeom>
                    <a:noFill/>
                    <a:ln>
                      <a:noFill/>
                      <a:prstDash/>
                    </a:ln>
                  </pic:spPr>
                </pic:pic>
              </a:graphicData>
            </a:graphic>
          </wp:anchor>
        </w:drawing>
      </w:r>
      <w:r>
        <w:rPr>
          <w:noProof/>
        </w:rPr>
        <w:drawing>
          <wp:anchor distT="0" distB="0" distL="114300" distR="114300" simplePos="0" relativeHeight="251651584" behindDoc="1" locked="0" layoutInCell="1" allowOverlap="1" wp14:anchorId="04F54B73" wp14:editId="04F54B74">
            <wp:simplePos x="0" y="0"/>
            <wp:positionH relativeFrom="column">
              <wp:posOffset>2827077</wp:posOffset>
            </wp:positionH>
            <wp:positionV relativeFrom="paragraph">
              <wp:posOffset>34920</wp:posOffset>
            </wp:positionV>
            <wp:extent cx="897483" cy="509403"/>
            <wp:effectExtent l="0" t="0" r="0" b="4947"/>
            <wp:wrapNone/>
            <wp:docPr id="5" name="For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897483" cy="509403"/>
                    </a:xfrm>
                    <a:prstGeom prst="rect">
                      <a:avLst/>
                    </a:prstGeom>
                    <a:noFill/>
                    <a:ln>
                      <a:noFill/>
                      <a:prstDash/>
                    </a:ln>
                  </pic:spPr>
                </pic:pic>
              </a:graphicData>
            </a:graphic>
          </wp:anchor>
        </w:drawing>
      </w:r>
    </w:p>
    <w:p w14:paraId="04F54B6D" w14:textId="77777777" w:rsidR="0004462C" w:rsidRDefault="0004462C">
      <w:pPr>
        <w:pStyle w:val="Standard"/>
        <w:rPr>
          <w:rFonts w:hint="eastAsia"/>
        </w:rPr>
      </w:pPr>
    </w:p>
    <w:p w14:paraId="04F54B6E" w14:textId="77777777" w:rsidR="0004462C" w:rsidRDefault="0004462C">
      <w:pPr>
        <w:pStyle w:val="Standard"/>
        <w:rPr>
          <w:rFonts w:hint="eastAsia"/>
        </w:rPr>
      </w:pPr>
    </w:p>
    <w:p w14:paraId="0CC82BB4" w14:textId="77777777" w:rsidR="00E841CC" w:rsidRDefault="00E841CC">
      <w:pPr>
        <w:pStyle w:val="Standard"/>
        <w:rPr>
          <w:rFonts w:asciiTheme="minorHAnsi" w:hAnsiTheme="minorHAnsi" w:cstheme="minorHAnsi"/>
          <w:sz w:val="28"/>
          <w:szCs w:val="28"/>
        </w:rPr>
      </w:pPr>
    </w:p>
    <w:p w14:paraId="58EE121C" w14:textId="76413ED3" w:rsidR="00817ECA" w:rsidRDefault="00E841CC">
      <w:pPr>
        <w:pStyle w:val="Standard"/>
        <w:rPr>
          <w:rFonts w:asciiTheme="minorHAnsi" w:hAnsiTheme="minorHAnsi" w:cstheme="minorHAnsi"/>
          <w:sz w:val="28"/>
          <w:szCs w:val="28"/>
        </w:rPr>
      </w:pPr>
      <w:r w:rsidRPr="00817ECA">
        <w:rPr>
          <w:rFonts w:asciiTheme="minorHAnsi" w:hAnsiTheme="minorHAnsi" w:cstheme="minorHAnsi"/>
          <w:noProof/>
        </w:rPr>
        <mc:AlternateContent>
          <mc:Choice Requires="wps">
            <w:drawing>
              <wp:anchor distT="0" distB="0" distL="114300" distR="114300" simplePos="0" relativeHeight="251654656" behindDoc="0" locked="0" layoutInCell="1" allowOverlap="1" wp14:anchorId="04F54B76" wp14:editId="2DDA4735">
                <wp:simplePos x="0" y="0"/>
                <wp:positionH relativeFrom="margin">
                  <wp:posOffset>194310</wp:posOffset>
                </wp:positionH>
                <wp:positionV relativeFrom="paragraph">
                  <wp:posOffset>367030</wp:posOffset>
                </wp:positionV>
                <wp:extent cx="5862320" cy="1492885"/>
                <wp:effectExtent l="0" t="0" r="0" b="0"/>
                <wp:wrapTopAndBottom/>
                <wp:docPr id="6" name="Frame1"/>
                <wp:cNvGraphicFramePr/>
                <a:graphic xmlns:a="http://schemas.openxmlformats.org/drawingml/2006/main">
                  <a:graphicData uri="http://schemas.microsoft.com/office/word/2010/wordprocessingShape">
                    <wps:wsp>
                      <wps:cNvSpPr txBox="1"/>
                      <wps:spPr>
                        <a:xfrm>
                          <a:off x="0" y="0"/>
                          <a:ext cx="5862320" cy="1492885"/>
                        </a:xfrm>
                        <a:prstGeom prst="rect">
                          <a:avLst/>
                        </a:prstGeom>
                        <a:solidFill>
                          <a:srgbClr val="FFFFFF">
                            <a:alpha val="0"/>
                          </a:srgbClr>
                        </a:solidFill>
                        <a:ln>
                          <a:noFill/>
                          <a:prstDash/>
                        </a:ln>
                      </wps:spPr>
                      <wps:txbx>
                        <w:txbxContent>
                          <w:p w14:paraId="39D57429" w14:textId="77777777" w:rsidR="00E841CC" w:rsidRPr="00E841CC" w:rsidRDefault="00081831" w:rsidP="00E841CC">
                            <w:pPr>
                              <w:pStyle w:val="Standard"/>
                              <w:widowControl w:val="0"/>
                              <w:spacing w:line="360" w:lineRule="auto"/>
                              <w:jc w:val="center"/>
                              <w:rPr>
                                <w:rFonts w:asciiTheme="minorHAnsi" w:hAnsiTheme="minorHAnsi" w:cstheme="minorHAnsi"/>
                                <w:b/>
                                <w:color w:val="FFFFFF"/>
                                <w:sz w:val="36"/>
                                <w:szCs w:val="40"/>
                              </w:rPr>
                            </w:pPr>
                            <w:r w:rsidRPr="00E841CC">
                              <w:rPr>
                                <w:rFonts w:asciiTheme="minorHAnsi" w:hAnsiTheme="minorHAnsi" w:cstheme="minorHAnsi"/>
                                <w:b/>
                                <w:color w:val="FFFFFF"/>
                                <w:sz w:val="36"/>
                                <w:szCs w:val="40"/>
                              </w:rPr>
                              <w:t>Appel</w:t>
                            </w:r>
                            <w:r w:rsidRPr="00E841CC">
                              <w:rPr>
                                <w:rFonts w:asciiTheme="minorHAnsi" w:hAnsiTheme="minorHAnsi" w:cstheme="minorHAnsi"/>
                                <w:b/>
                                <w:color w:val="FFFFFF"/>
                                <w:spacing w:val="3"/>
                                <w:sz w:val="36"/>
                                <w:szCs w:val="40"/>
                              </w:rPr>
                              <w:t xml:space="preserve"> </w:t>
                            </w:r>
                            <w:r w:rsidRPr="00E841CC">
                              <w:rPr>
                                <w:rFonts w:asciiTheme="minorHAnsi" w:hAnsiTheme="minorHAnsi" w:cstheme="minorHAnsi"/>
                                <w:b/>
                                <w:color w:val="FFFFFF"/>
                                <w:sz w:val="36"/>
                                <w:szCs w:val="40"/>
                              </w:rPr>
                              <w:t>à</w:t>
                            </w:r>
                            <w:r w:rsidRPr="00E841CC">
                              <w:rPr>
                                <w:rFonts w:asciiTheme="minorHAnsi" w:hAnsiTheme="minorHAnsi" w:cstheme="minorHAnsi"/>
                                <w:b/>
                                <w:color w:val="FFFFFF"/>
                                <w:spacing w:val="-2"/>
                                <w:sz w:val="36"/>
                                <w:szCs w:val="40"/>
                              </w:rPr>
                              <w:t xml:space="preserve"> </w:t>
                            </w:r>
                            <w:r w:rsidRPr="00E841CC">
                              <w:rPr>
                                <w:rFonts w:asciiTheme="minorHAnsi" w:hAnsiTheme="minorHAnsi" w:cstheme="minorHAnsi"/>
                                <w:b/>
                                <w:color w:val="FFFFFF"/>
                                <w:sz w:val="36"/>
                                <w:szCs w:val="40"/>
                              </w:rPr>
                              <w:t>manifestation</w:t>
                            </w:r>
                            <w:r w:rsidRPr="00E841CC">
                              <w:rPr>
                                <w:rFonts w:asciiTheme="minorHAnsi" w:hAnsiTheme="minorHAnsi" w:cstheme="minorHAnsi"/>
                                <w:b/>
                                <w:color w:val="FFFFFF"/>
                                <w:spacing w:val="-4"/>
                                <w:sz w:val="36"/>
                                <w:szCs w:val="40"/>
                              </w:rPr>
                              <w:t xml:space="preserve"> </w:t>
                            </w:r>
                            <w:r w:rsidRPr="00E841CC">
                              <w:rPr>
                                <w:rFonts w:asciiTheme="minorHAnsi" w:hAnsiTheme="minorHAnsi" w:cstheme="minorHAnsi"/>
                                <w:b/>
                                <w:color w:val="FFFFFF"/>
                                <w:sz w:val="36"/>
                                <w:szCs w:val="40"/>
                              </w:rPr>
                              <w:t xml:space="preserve">d’intérêt 2023 </w:t>
                            </w:r>
                          </w:p>
                          <w:p w14:paraId="46D0B211" w14:textId="626AE4B9" w:rsidR="00817ECA" w:rsidRPr="00E841CC" w:rsidRDefault="00081831" w:rsidP="00E841CC">
                            <w:pPr>
                              <w:pStyle w:val="Standard"/>
                              <w:widowControl w:val="0"/>
                              <w:spacing w:line="360" w:lineRule="auto"/>
                              <w:jc w:val="center"/>
                              <w:rPr>
                                <w:rFonts w:asciiTheme="minorHAnsi" w:hAnsiTheme="minorHAnsi" w:cstheme="minorHAnsi"/>
                                <w:b/>
                                <w:color w:val="FFFFFF"/>
                                <w:spacing w:val="-3"/>
                                <w:sz w:val="32"/>
                                <w:szCs w:val="36"/>
                              </w:rPr>
                            </w:pPr>
                            <w:r w:rsidRPr="00E841CC">
                              <w:rPr>
                                <w:rFonts w:asciiTheme="minorHAnsi" w:hAnsiTheme="minorHAnsi" w:cstheme="minorHAnsi"/>
                                <w:b/>
                                <w:color w:val="FFFFFF"/>
                                <w:sz w:val="32"/>
                                <w:szCs w:val="36"/>
                              </w:rPr>
                              <w:t>«</w:t>
                            </w:r>
                            <w:r w:rsidRPr="00E841CC">
                              <w:rPr>
                                <w:rFonts w:asciiTheme="minorHAnsi" w:hAnsiTheme="minorHAnsi" w:cstheme="minorHAnsi"/>
                                <w:b/>
                                <w:color w:val="FFFFFF"/>
                                <w:spacing w:val="3"/>
                                <w:sz w:val="32"/>
                                <w:szCs w:val="36"/>
                              </w:rPr>
                              <w:t xml:space="preserve"> </w:t>
                            </w:r>
                            <w:r w:rsidRPr="00E841CC">
                              <w:rPr>
                                <w:rFonts w:asciiTheme="minorHAnsi" w:hAnsiTheme="minorHAnsi" w:cstheme="minorHAnsi"/>
                                <w:b/>
                                <w:color w:val="FFFFFF"/>
                                <w:spacing w:val="-2"/>
                                <w:sz w:val="32"/>
                                <w:szCs w:val="36"/>
                              </w:rPr>
                              <w:t>Territoires</w:t>
                            </w:r>
                            <w:r w:rsidRPr="00E841CC">
                              <w:rPr>
                                <w:rFonts w:asciiTheme="minorHAnsi" w:hAnsiTheme="minorHAnsi" w:cstheme="minorHAnsi"/>
                                <w:b/>
                                <w:color w:val="FFFFFF"/>
                                <w:spacing w:val="-1"/>
                                <w:sz w:val="32"/>
                                <w:szCs w:val="36"/>
                              </w:rPr>
                              <w:t xml:space="preserve"> </w:t>
                            </w:r>
                            <w:r w:rsidRPr="00E841CC">
                              <w:rPr>
                                <w:rFonts w:asciiTheme="minorHAnsi" w:hAnsiTheme="minorHAnsi" w:cstheme="minorHAnsi"/>
                                <w:b/>
                                <w:color w:val="FFFFFF"/>
                                <w:sz w:val="32"/>
                                <w:szCs w:val="36"/>
                              </w:rPr>
                              <w:t>franciliens</w:t>
                            </w:r>
                            <w:r w:rsidRPr="00E841CC">
                              <w:rPr>
                                <w:rFonts w:asciiTheme="minorHAnsi" w:hAnsiTheme="minorHAnsi" w:cstheme="minorHAnsi"/>
                                <w:b/>
                                <w:color w:val="FFFFFF"/>
                                <w:spacing w:val="-1"/>
                                <w:sz w:val="32"/>
                                <w:szCs w:val="36"/>
                              </w:rPr>
                              <w:t xml:space="preserve"> </w:t>
                            </w:r>
                            <w:r w:rsidRPr="00E841CC">
                              <w:rPr>
                                <w:rFonts w:asciiTheme="minorHAnsi" w:hAnsiTheme="minorHAnsi" w:cstheme="minorHAnsi"/>
                                <w:b/>
                                <w:color w:val="FFFFFF"/>
                                <w:sz w:val="32"/>
                                <w:szCs w:val="36"/>
                              </w:rPr>
                              <w:t>circulaires</w:t>
                            </w:r>
                            <w:r w:rsidRPr="00E841CC">
                              <w:rPr>
                                <w:rFonts w:asciiTheme="minorHAnsi" w:hAnsiTheme="minorHAnsi" w:cstheme="minorHAnsi"/>
                                <w:b/>
                                <w:color w:val="FFFFFF"/>
                                <w:spacing w:val="3"/>
                                <w:sz w:val="32"/>
                                <w:szCs w:val="36"/>
                              </w:rPr>
                              <w:t xml:space="preserve"> </w:t>
                            </w:r>
                            <w:r w:rsidRPr="00E841CC">
                              <w:rPr>
                                <w:rFonts w:asciiTheme="minorHAnsi" w:hAnsiTheme="minorHAnsi" w:cstheme="minorHAnsi"/>
                                <w:b/>
                                <w:color w:val="FFFFFF"/>
                                <w:sz w:val="32"/>
                                <w:szCs w:val="36"/>
                              </w:rPr>
                              <w:t>»</w:t>
                            </w:r>
                            <w:r w:rsidRPr="00E841CC">
                              <w:rPr>
                                <w:rFonts w:asciiTheme="minorHAnsi" w:hAnsiTheme="minorHAnsi" w:cstheme="minorHAnsi"/>
                                <w:b/>
                                <w:color w:val="FFFFFF"/>
                                <w:spacing w:val="-3"/>
                                <w:sz w:val="32"/>
                                <w:szCs w:val="36"/>
                              </w:rPr>
                              <w:t xml:space="preserve"> </w:t>
                            </w:r>
                          </w:p>
                          <w:p w14:paraId="3445D8AB" w14:textId="77777777" w:rsidR="00817ECA" w:rsidRPr="00E841CC" w:rsidRDefault="00081831" w:rsidP="00E841CC">
                            <w:pPr>
                              <w:pStyle w:val="Standard"/>
                              <w:widowControl w:val="0"/>
                              <w:spacing w:line="360" w:lineRule="auto"/>
                              <w:jc w:val="center"/>
                              <w:rPr>
                                <w:rFonts w:asciiTheme="minorHAnsi" w:hAnsiTheme="minorHAnsi" w:cstheme="minorHAnsi"/>
                                <w:b/>
                                <w:color w:val="FFFFFF"/>
                                <w:spacing w:val="3"/>
                                <w:sz w:val="32"/>
                                <w:szCs w:val="36"/>
                              </w:rPr>
                            </w:pPr>
                            <w:proofErr w:type="gramStart"/>
                            <w:r w:rsidRPr="00E841CC">
                              <w:rPr>
                                <w:rFonts w:asciiTheme="minorHAnsi" w:hAnsiTheme="minorHAnsi" w:cstheme="minorHAnsi"/>
                                <w:b/>
                                <w:color w:val="FFFFFF"/>
                                <w:sz w:val="32"/>
                                <w:szCs w:val="36"/>
                              </w:rPr>
                              <w:t>dédié</w:t>
                            </w:r>
                            <w:proofErr w:type="gramEnd"/>
                            <w:r w:rsidRPr="00E841CC">
                              <w:rPr>
                                <w:rFonts w:asciiTheme="minorHAnsi" w:hAnsiTheme="minorHAnsi" w:cstheme="minorHAnsi"/>
                                <w:b/>
                                <w:color w:val="FFFFFF"/>
                                <w:spacing w:val="1"/>
                                <w:sz w:val="32"/>
                                <w:szCs w:val="36"/>
                              </w:rPr>
                              <w:t xml:space="preserve"> </w:t>
                            </w:r>
                            <w:r w:rsidRPr="00E841CC">
                              <w:rPr>
                                <w:rFonts w:asciiTheme="minorHAnsi" w:hAnsiTheme="minorHAnsi" w:cstheme="minorHAnsi"/>
                                <w:b/>
                                <w:color w:val="FFFFFF"/>
                                <w:sz w:val="32"/>
                                <w:szCs w:val="36"/>
                              </w:rPr>
                              <w:t xml:space="preserve">au développement </w:t>
                            </w:r>
                            <w:r w:rsidRPr="00E841CC">
                              <w:rPr>
                                <w:rFonts w:asciiTheme="minorHAnsi" w:hAnsiTheme="minorHAnsi" w:cstheme="minorHAnsi"/>
                                <w:b/>
                                <w:color w:val="FFFFFF"/>
                                <w:spacing w:val="3"/>
                                <w:sz w:val="32"/>
                                <w:szCs w:val="36"/>
                              </w:rPr>
                              <w:t>de</w:t>
                            </w:r>
                          </w:p>
                          <w:p w14:paraId="04F54B88" w14:textId="56621D7B" w:rsidR="0004462C" w:rsidRPr="00E841CC" w:rsidRDefault="00081831" w:rsidP="00E841CC">
                            <w:pPr>
                              <w:pStyle w:val="Standard"/>
                              <w:widowControl w:val="0"/>
                              <w:spacing w:line="360" w:lineRule="auto"/>
                              <w:jc w:val="center"/>
                              <w:rPr>
                                <w:rFonts w:asciiTheme="minorHAnsi" w:hAnsiTheme="minorHAnsi" w:cstheme="minorHAnsi"/>
                                <w:sz w:val="36"/>
                                <w:szCs w:val="36"/>
                              </w:rPr>
                            </w:pPr>
                            <w:proofErr w:type="gramStart"/>
                            <w:r w:rsidRPr="00E841CC">
                              <w:rPr>
                                <w:rFonts w:asciiTheme="minorHAnsi" w:hAnsiTheme="minorHAnsi" w:cstheme="minorHAnsi"/>
                                <w:b/>
                                <w:color w:val="FFFFFF"/>
                                <w:sz w:val="36"/>
                                <w:szCs w:val="40"/>
                              </w:rPr>
                              <w:t>l’Écologie</w:t>
                            </w:r>
                            <w:proofErr w:type="gramEnd"/>
                            <w:r w:rsidRPr="00E841CC">
                              <w:rPr>
                                <w:rFonts w:asciiTheme="minorHAnsi" w:hAnsiTheme="minorHAnsi" w:cstheme="minorHAnsi"/>
                                <w:b/>
                                <w:color w:val="FFFFFF"/>
                                <w:spacing w:val="-1"/>
                                <w:sz w:val="36"/>
                                <w:szCs w:val="40"/>
                              </w:rPr>
                              <w:t xml:space="preserve"> </w:t>
                            </w:r>
                            <w:r w:rsidRPr="00E841CC">
                              <w:rPr>
                                <w:rFonts w:asciiTheme="minorHAnsi" w:hAnsiTheme="minorHAnsi" w:cstheme="minorHAnsi"/>
                                <w:b/>
                                <w:color w:val="FFFFFF"/>
                                <w:sz w:val="36"/>
                                <w:szCs w:val="40"/>
                              </w:rPr>
                              <w:t>Industrielle</w:t>
                            </w:r>
                            <w:r w:rsidRPr="00E841CC">
                              <w:rPr>
                                <w:rFonts w:asciiTheme="minorHAnsi" w:hAnsiTheme="minorHAnsi" w:cstheme="minorHAnsi"/>
                                <w:b/>
                                <w:color w:val="FFFFFF"/>
                                <w:spacing w:val="-1"/>
                                <w:sz w:val="36"/>
                                <w:szCs w:val="40"/>
                              </w:rPr>
                              <w:t xml:space="preserve"> et</w:t>
                            </w:r>
                            <w:r w:rsidRPr="00E841CC">
                              <w:rPr>
                                <w:rFonts w:asciiTheme="minorHAnsi" w:hAnsiTheme="minorHAnsi" w:cstheme="minorHAnsi"/>
                                <w:b/>
                                <w:color w:val="FFFFFF"/>
                                <w:spacing w:val="3"/>
                                <w:sz w:val="36"/>
                                <w:szCs w:val="40"/>
                              </w:rPr>
                              <w:t xml:space="preserve"> </w:t>
                            </w:r>
                            <w:r w:rsidRPr="00E841CC">
                              <w:rPr>
                                <w:rFonts w:asciiTheme="minorHAnsi" w:hAnsiTheme="minorHAnsi" w:cstheme="minorHAnsi"/>
                                <w:b/>
                                <w:color w:val="FFFFFF"/>
                                <w:spacing w:val="-2"/>
                                <w:sz w:val="36"/>
                                <w:szCs w:val="40"/>
                              </w:rPr>
                              <w:t>Territoriale</w:t>
                            </w:r>
                            <w:r w:rsidRPr="00E841CC">
                              <w:rPr>
                                <w:rFonts w:asciiTheme="minorHAnsi" w:hAnsiTheme="minorHAnsi" w:cstheme="minorHAnsi"/>
                                <w:b/>
                                <w:color w:val="FFFFFF"/>
                                <w:spacing w:val="1"/>
                                <w:sz w:val="36"/>
                                <w:szCs w:val="40"/>
                              </w:rPr>
                              <w:t xml:space="preserve"> </w:t>
                            </w:r>
                            <w:r w:rsidR="004B44F4" w:rsidRPr="00E841CC">
                              <w:rPr>
                                <w:rFonts w:asciiTheme="minorHAnsi" w:hAnsiTheme="minorHAnsi" w:cstheme="minorHAnsi"/>
                                <w:b/>
                                <w:color w:val="FFFFFF"/>
                                <w:spacing w:val="1"/>
                                <w:sz w:val="36"/>
                                <w:szCs w:val="40"/>
                              </w:rPr>
                              <w:t xml:space="preserve">(EIT) </w:t>
                            </w:r>
                            <w:r w:rsidRPr="00E841CC">
                              <w:rPr>
                                <w:rFonts w:asciiTheme="minorHAnsi" w:hAnsiTheme="minorHAnsi" w:cstheme="minorHAnsi"/>
                                <w:b/>
                                <w:color w:val="FFFFFF"/>
                                <w:sz w:val="32"/>
                                <w:szCs w:val="36"/>
                              </w:rPr>
                              <w:t>en</w:t>
                            </w:r>
                            <w:r w:rsidRPr="00E841CC">
                              <w:rPr>
                                <w:rFonts w:asciiTheme="minorHAnsi" w:hAnsiTheme="minorHAnsi" w:cstheme="minorHAnsi"/>
                                <w:b/>
                                <w:color w:val="FFFFFF"/>
                                <w:spacing w:val="-2"/>
                                <w:sz w:val="32"/>
                                <w:szCs w:val="36"/>
                              </w:rPr>
                              <w:t xml:space="preserve"> </w:t>
                            </w:r>
                            <w:r w:rsidRPr="00E841CC">
                              <w:rPr>
                                <w:rFonts w:asciiTheme="minorHAnsi" w:hAnsiTheme="minorHAnsi" w:cstheme="minorHAnsi"/>
                                <w:b/>
                                <w:color w:val="FFFFFF"/>
                                <w:sz w:val="32"/>
                                <w:szCs w:val="36"/>
                              </w:rPr>
                              <w:t>Île-de-France</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04F54B76" id="_x0000_t202" coordsize="21600,21600" o:spt="202" path="m,l,21600r21600,l21600,xe">
                <v:stroke joinstyle="miter"/>
                <v:path gradientshapeok="t" o:connecttype="rect"/>
              </v:shapetype>
              <v:shape id="Frame1" o:spid="_x0000_s1026" type="#_x0000_t202" style="position:absolute;margin-left:15.3pt;margin-top:28.9pt;width:461.6pt;height:117.5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" stroked="f">
                <v:fill opacity="0"/>
                <v:textbox inset="0,0,0,0">
                  <w:txbxContent>
                    <w:p w14:paraId="39D57429" w14:textId="77777777" w:rsidR="00E841CC" w:rsidRPr="00E841CC" w:rsidRDefault="00081831" w:rsidP="00E841CC">
                      <w:pPr>
                        <w:pStyle w:val="Standard"/>
                        <w:widowControl w:val="0"/>
                        <w:spacing w:line="360" w:lineRule="auto"/>
                        <w:jc w:val="center"/>
                        <w:rPr>
                          <w:rFonts w:asciiTheme="minorHAnsi" w:hAnsiTheme="minorHAnsi" w:cstheme="minorHAnsi"/>
                          <w:b/>
                          <w:color w:val="FFFFFF"/>
                          <w:sz w:val="36"/>
                          <w:szCs w:val="40"/>
                        </w:rPr>
                      </w:pPr>
                      <w:r w:rsidRPr="00E841CC">
                        <w:rPr>
                          <w:rFonts w:asciiTheme="minorHAnsi" w:hAnsiTheme="minorHAnsi" w:cstheme="minorHAnsi"/>
                          <w:b/>
                          <w:color w:val="FFFFFF"/>
                          <w:sz w:val="36"/>
                          <w:szCs w:val="40"/>
                        </w:rPr>
                        <w:t>Appel</w:t>
                      </w:r>
                      <w:r w:rsidRPr="00E841CC">
                        <w:rPr>
                          <w:rFonts w:asciiTheme="minorHAnsi" w:hAnsiTheme="minorHAnsi" w:cstheme="minorHAnsi"/>
                          <w:b/>
                          <w:color w:val="FFFFFF"/>
                          <w:spacing w:val="3"/>
                          <w:sz w:val="36"/>
                          <w:szCs w:val="40"/>
                        </w:rPr>
                        <w:t xml:space="preserve"> </w:t>
                      </w:r>
                      <w:r w:rsidRPr="00E841CC">
                        <w:rPr>
                          <w:rFonts w:asciiTheme="minorHAnsi" w:hAnsiTheme="minorHAnsi" w:cstheme="minorHAnsi"/>
                          <w:b/>
                          <w:color w:val="FFFFFF"/>
                          <w:sz w:val="36"/>
                          <w:szCs w:val="40"/>
                        </w:rPr>
                        <w:t>à</w:t>
                      </w:r>
                      <w:r w:rsidRPr="00E841CC">
                        <w:rPr>
                          <w:rFonts w:asciiTheme="minorHAnsi" w:hAnsiTheme="minorHAnsi" w:cstheme="minorHAnsi"/>
                          <w:b/>
                          <w:color w:val="FFFFFF"/>
                          <w:spacing w:val="-2"/>
                          <w:sz w:val="36"/>
                          <w:szCs w:val="40"/>
                        </w:rPr>
                        <w:t xml:space="preserve"> </w:t>
                      </w:r>
                      <w:r w:rsidRPr="00E841CC">
                        <w:rPr>
                          <w:rFonts w:asciiTheme="minorHAnsi" w:hAnsiTheme="minorHAnsi" w:cstheme="minorHAnsi"/>
                          <w:b/>
                          <w:color w:val="FFFFFF"/>
                          <w:sz w:val="36"/>
                          <w:szCs w:val="40"/>
                        </w:rPr>
                        <w:t>manifestation</w:t>
                      </w:r>
                      <w:r w:rsidRPr="00E841CC">
                        <w:rPr>
                          <w:rFonts w:asciiTheme="minorHAnsi" w:hAnsiTheme="minorHAnsi" w:cstheme="minorHAnsi"/>
                          <w:b/>
                          <w:color w:val="FFFFFF"/>
                          <w:spacing w:val="-4"/>
                          <w:sz w:val="36"/>
                          <w:szCs w:val="40"/>
                        </w:rPr>
                        <w:t xml:space="preserve"> </w:t>
                      </w:r>
                      <w:r w:rsidRPr="00E841CC">
                        <w:rPr>
                          <w:rFonts w:asciiTheme="minorHAnsi" w:hAnsiTheme="minorHAnsi" w:cstheme="minorHAnsi"/>
                          <w:b/>
                          <w:color w:val="FFFFFF"/>
                          <w:sz w:val="36"/>
                          <w:szCs w:val="40"/>
                        </w:rPr>
                        <w:t xml:space="preserve">d’intérêt 2023 </w:t>
                      </w:r>
                    </w:p>
                    <w:p w14:paraId="46D0B211" w14:textId="626AE4B9" w:rsidR="00817ECA" w:rsidRPr="00E841CC" w:rsidRDefault="00081831" w:rsidP="00E841CC">
                      <w:pPr>
                        <w:pStyle w:val="Standard"/>
                        <w:widowControl w:val="0"/>
                        <w:spacing w:line="360" w:lineRule="auto"/>
                        <w:jc w:val="center"/>
                        <w:rPr>
                          <w:rFonts w:asciiTheme="minorHAnsi" w:hAnsiTheme="minorHAnsi" w:cstheme="minorHAnsi"/>
                          <w:b/>
                          <w:color w:val="FFFFFF"/>
                          <w:spacing w:val="-3"/>
                          <w:sz w:val="32"/>
                          <w:szCs w:val="36"/>
                        </w:rPr>
                      </w:pPr>
                      <w:r w:rsidRPr="00E841CC">
                        <w:rPr>
                          <w:rFonts w:asciiTheme="minorHAnsi" w:hAnsiTheme="minorHAnsi" w:cstheme="minorHAnsi"/>
                          <w:b/>
                          <w:color w:val="FFFFFF"/>
                          <w:sz w:val="32"/>
                          <w:szCs w:val="36"/>
                        </w:rPr>
                        <w:t>«</w:t>
                      </w:r>
                      <w:r w:rsidRPr="00E841CC">
                        <w:rPr>
                          <w:rFonts w:asciiTheme="minorHAnsi" w:hAnsiTheme="minorHAnsi" w:cstheme="minorHAnsi"/>
                          <w:b/>
                          <w:color w:val="FFFFFF"/>
                          <w:spacing w:val="3"/>
                          <w:sz w:val="32"/>
                          <w:szCs w:val="36"/>
                        </w:rPr>
                        <w:t xml:space="preserve"> </w:t>
                      </w:r>
                      <w:r w:rsidRPr="00E841CC">
                        <w:rPr>
                          <w:rFonts w:asciiTheme="minorHAnsi" w:hAnsiTheme="minorHAnsi" w:cstheme="minorHAnsi"/>
                          <w:b/>
                          <w:color w:val="FFFFFF"/>
                          <w:spacing w:val="-2"/>
                          <w:sz w:val="32"/>
                          <w:szCs w:val="36"/>
                        </w:rPr>
                        <w:t>Territoires</w:t>
                      </w:r>
                      <w:r w:rsidRPr="00E841CC">
                        <w:rPr>
                          <w:rFonts w:asciiTheme="minorHAnsi" w:hAnsiTheme="minorHAnsi" w:cstheme="minorHAnsi"/>
                          <w:b/>
                          <w:color w:val="FFFFFF"/>
                          <w:spacing w:val="-1"/>
                          <w:sz w:val="32"/>
                          <w:szCs w:val="36"/>
                        </w:rPr>
                        <w:t xml:space="preserve"> </w:t>
                      </w:r>
                      <w:r w:rsidRPr="00E841CC">
                        <w:rPr>
                          <w:rFonts w:asciiTheme="minorHAnsi" w:hAnsiTheme="minorHAnsi" w:cstheme="minorHAnsi"/>
                          <w:b/>
                          <w:color w:val="FFFFFF"/>
                          <w:sz w:val="32"/>
                          <w:szCs w:val="36"/>
                        </w:rPr>
                        <w:t>franciliens</w:t>
                      </w:r>
                      <w:r w:rsidRPr="00E841CC">
                        <w:rPr>
                          <w:rFonts w:asciiTheme="minorHAnsi" w:hAnsiTheme="minorHAnsi" w:cstheme="minorHAnsi"/>
                          <w:b/>
                          <w:color w:val="FFFFFF"/>
                          <w:spacing w:val="-1"/>
                          <w:sz w:val="32"/>
                          <w:szCs w:val="36"/>
                        </w:rPr>
                        <w:t xml:space="preserve"> </w:t>
                      </w:r>
                      <w:r w:rsidRPr="00E841CC">
                        <w:rPr>
                          <w:rFonts w:asciiTheme="minorHAnsi" w:hAnsiTheme="minorHAnsi" w:cstheme="minorHAnsi"/>
                          <w:b/>
                          <w:color w:val="FFFFFF"/>
                          <w:sz w:val="32"/>
                          <w:szCs w:val="36"/>
                        </w:rPr>
                        <w:t>circulaires</w:t>
                      </w:r>
                      <w:r w:rsidRPr="00E841CC">
                        <w:rPr>
                          <w:rFonts w:asciiTheme="minorHAnsi" w:hAnsiTheme="minorHAnsi" w:cstheme="minorHAnsi"/>
                          <w:b/>
                          <w:color w:val="FFFFFF"/>
                          <w:spacing w:val="3"/>
                          <w:sz w:val="32"/>
                          <w:szCs w:val="36"/>
                        </w:rPr>
                        <w:t xml:space="preserve"> </w:t>
                      </w:r>
                      <w:r w:rsidRPr="00E841CC">
                        <w:rPr>
                          <w:rFonts w:asciiTheme="minorHAnsi" w:hAnsiTheme="minorHAnsi" w:cstheme="minorHAnsi"/>
                          <w:b/>
                          <w:color w:val="FFFFFF"/>
                          <w:sz w:val="32"/>
                          <w:szCs w:val="36"/>
                        </w:rPr>
                        <w:t>»</w:t>
                      </w:r>
                      <w:r w:rsidRPr="00E841CC">
                        <w:rPr>
                          <w:rFonts w:asciiTheme="minorHAnsi" w:hAnsiTheme="minorHAnsi" w:cstheme="minorHAnsi"/>
                          <w:b/>
                          <w:color w:val="FFFFFF"/>
                          <w:spacing w:val="-3"/>
                          <w:sz w:val="32"/>
                          <w:szCs w:val="36"/>
                        </w:rPr>
                        <w:t xml:space="preserve"> </w:t>
                      </w:r>
                    </w:p>
                    <w:p w14:paraId="3445D8AB" w14:textId="77777777" w:rsidR="00817ECA" w:rsidRPr="00E841CC" w:rsidRDefault="00081831" w:rsidP="00E841CC">
                      <w:pPr>
                        <w:pStyle w:val="Standard"/>
                        <w:widowControl w:val="0"/>
                        <w:spacing w:line="360" w:lineRule="auto"/>
                        <w:jc w:val="center"/>
                        <w:rPr>
                          <w:rFonts w:asciiTheme="minorHAnsi" w:hAnsiTheme="minorHAnsi" w:cstheme="minorHAnsi"/>
                          <w:b/>
                          <w:color w:val="FFFFFF"/>
                          <w:spacing w:val="3"/>
                          <w:sz w:val="32"/>
                          <w:szCs w:val="36"/>
                        </w:rPr>
                      </w:pPr>
                      <w:proofErr w:type="gramStart"/>
                      <w:r w:rsidRPr="00E841CC">
                        <w:rPr>
                          <w:rFonts w:asciiTheme="minorHAnsi" w:hAnsiTheme="minorHAnsi" w:cstheme="minorHAnsi"/>
                          <w:b/>
                          <w:color w:val="FFFFFF"/>
                          <w:sz w:val="32"/>
                          <w:szCs w:val="36"/>
                        </w:rPr>
                        <w:t>dédié</w:t>
                      </w:r>
                      <w:proofErr w:type="gramEnd"/>
                      <w:r w:rsidRPr="00E841CC">
                        <w:rPr>
                          <w:rFonts w:asciiTheme="minorHAnsi" w:hAnsiTheme="minorHAnsi" w:cstheme="minorHAnsi"/>
                          <w:b/>
                          <w:color w:val="FFFFFF"/>
                          <w:spacing w:val="1"/>
                          <w:sz w:val="32"/>
                          <w:szCs w:val="36"/>
                        </w:rPr>
                        <w:t xml:space="preserve"> </w:t>
                      </w:r>
                      <w:r w:rsidRPr="00E841CC">
                        <w:rPr>
                          <w:rFonts w:asciiTheme="minorHAnsi" w:hAnsiTheme="minorHAnsi" w:cstheme="minorHAnsi"/>
                          <w:b/>
                          <w:color w:val="FFFFFF"/>
                          <w:sz w:val="32"/>
                          <w:szCs w:val="36"/>
                        </w:rPr>
                        <w:t xml:space="preserve">au développement </w:t>
                      </w:r>
                      <w:r w:rsidRPr="00E841CC">
                        <w:rPr>
                          <w:rFonts w:asciiTheme="minorHAnsi" w:hAnsiTheme="minorHAnsi" w:cstheme="minorHAnsi"/>
                          <w:b/>
                          <w:color w:val="FFFFFF"/>
                          <w:spacing w:val="3"/>
                          <w:sz w:val="32"/>
                          <w:szCs w:val="36"/>
                        </w:rPr>
                        <w:t>de</w:t>
                      </w:r>
                    </w:p>
                    <w:p w14:paraId="04F54B88" w14:textId="56621D7B" w:rsidR="0004462C" w:rsidRPr="00E841CC" w:rsidRDefault="00081831" w:rsidP="00E841CC">
                      <w:pPr>
                        <w:pStyle w:val="Standard"/>
                        <w:widowControl w:val="0"/>
                        <w:spacing w:line="360" w:lineRule="auto"/>
                        <w:jc w:val="center"/>
                        <w:rPr>
                          <w:rFonts w:asciiTheme="minorHAnsi" w:hAnsiTheme="minorHAnsi" w:cstheme="minorHAnsi"/>
                          <w:sz w:val="36"/>
                          <w:szCs w:val="36"/>
                        </w:rPr>
                      </w:pPr>
                      <w:proofErr w:type="gramStart"/>
                      <w:r w:rsidRPr="00E841CC">
                        <w:rPr>
                          <w:rFonts w:asciiTheme="minorHAnsi" w:hAnsiTheme="minorHAnsi" w:cstheme="minorHAnsi"/>
                          <w:b/>
                          <w:color w:val="FFFFFF"/>
                          <w:sz w:val="36"/>
                          <w:szCs w:val="40"/>
                        </w:rPr>
                        <w:t>l’Écologie</w:t>
                      </w:r>
                      <w:proofErr w:type="gramEnd"/>
                      <w:r w:rsidRPr="00E841CC">
                        <w:rPr>
                          <w:rFonts w:asciiTheme="minorHAnsi" w:hAnsiTheme="minorHAnsi" w:cstheme="minorHAnsi"/>
                          <w:b/>
                          <w:color w:val="FFFFFF"/>
                          <w:spacing w:val="-1"/>
                          <w:sz w:val="36"/>
                          <w:szCs w:val="40"/>
                        </w:rPr>
                        <w:t xml:space="preserve"> </w:t>
                      </w:r>
                      <w:r w:rsidRPr="00E841CC">
                        <w:rPr>
                          <w:rFonts w:asciiTheme="minorHAnsi" w:hAnsiTheme="minorHAnsi" w:cstheme="minorHAnsi"/>
                          <w:b/>
                          <w:color w:val="FFFFFF"/>
                          <w:sz w:val="36"/>
                          <w:szCs w:val="40"/>
                        </w:rPr>
                        <w:t>Industrielle</w:t>
                      </w:r>
                      <w:r w:rsidRPr="00E841CC">
                        <w:rPr>
                          <w:rFonts w:asciiTheme="minorHAnsi" w:hAnsiTheme="minorHAnsi" w:cstheme="minorHAnsi"/>
                          <w:b/>
                          <w:color w:val="FFFFFF"/>
                          <w:spacing w:val="-1"/>
                          <w:sz w:val="36"/>
                          <w:szCs w:val="40"/>
                        </w:rPr>
                        <w:t xml:space="preserve"> et</w:t>
                      </w:r>
                      <w:r w:rsidRPr="00E841CC">
                        <w:rPr>
                          <w:rFonts w:asciiTheme="minorHAnsi" w:hAnsiTheme="minorHAnsi" w:cstheme="minorHAnsi"/>
                          <w:b/>
                          <w:color w:val="FFFFFF"/>
                          <w:spacing w:val="3"/>
                          <w:sz w:val="36"/>
                          <w:szCs w:val="40"/>
                        </w:rPr>
                        <w:t xml:space="preserve"> </w:t>
                      </w:r>
                      <w:r w:rsidRPr="00E841CC">
                        <w:rPr>
                          <w:rFonts w:asciiTheme="minorHAnsi" w:hAnsiTheme="minorHAnsi" w:cstheme="minorHAnsi"/>
                          <w:b/>
                          <w:color w:val="FFFFFF"/>
                          <w:spacing w:val="-2"/>
                          <w:sz w:val="36"/>
                          <w:szCs w:val="40"/>
                        </w:rPr>
                        <w:t>Territoriale</w:t>
                      </w:r>
                      <w:r w:rsidRPr="00E841CC">
                        <w:rPr>
                          <w:rFonts w:asciiTheme="minorHAnsi" w:hAnsiTheme="minorHAnsi" w:cstheme="minorHAnsi"/>
                          <w:b/>
                          <w:color w:val="FFFFFF"/>
                          <w:spacing w:val="1"/>
                          <w:sz w:val="36"/>
                          <w:szCs w:val="40"/>
                        </w:rPr>
                        <w:t xml:space="preserve"> </w:t>
                      </w:r>
                      <w:r w:rsidR="004B44F4" w:rsidRPr="00E841CC">
                        <w:rPr>
                          <w:rFonts w:asciiTheme="minorHAnsi" w:hAnsiTheme="minorHAnsi" w:cstheme="minorHAnsi"/>
                          <w:b/>
                          <w:color w:val="FFFFFF"/>
                          <w:spacing w:val="1"/>
                          <w:sz w:val="36"/>
                          <w:szCs w:val="40"/>
                        </w:rPr>
                        <w:t xml:space="preserve">(EIT) </w:t>
                      </w:r>
                      <w:r w:rsidRPr="00E841CC">
                        <w:rPr>
                          <w:rFonts w:asciiTheme="minorHAnsi" w:hAnsiTheme="minorHAnsi" w:cstheme="minorHAnsi"/>
                          <w:b/>
                          <w:color w:val="FFFFFF"/>
                          <w:sz w:val="32"/>
                          <w:szCs w:val="36"/>
                        </w:rPr>
                        <w:t>en</w:t>
                      </w:r>
                      <w:r w:rsidRPr="00E841CC">
                        <w:rPr>
                          <w:rFonts w:asciiTheme="minorHAnsi" w:hAnsiTheme="minorHAnsi" w:cstheme="minorHAnsi"/>
                          <w:b/>
                          <w:color w:val="FFFFFF"/>
                          <w:spacing w:val="-2"/>
                          <w:sz w:val="32"/>
                          <w:szCs w:val="36"/>
                        </w:rPr>
                        <w:t xml:space="preserve"> </w:t>
                      </w:r>
                      <w:r w:rsidRPr="00E841CC">
                        <w:rPr>
                          <w:rFonts w:asciiTheme="minorHAnsi" w:hAnsiTheme="minorHAnsi" w:cstheme="minorHAnsi"/>
                          <w:b/>
                          <w:color w:val="FFFFFF"/>
                          <w:sz w:val="32"/>
                          <w:szCs w:val="36"/>
                        </w:rPr>
                        <w:t>Île-de-France</w:t>
                      </w:r>
                    </w:p>
                  </w:txbxContent>
                </v:textbox>
                <w10:wrap type="topAndBottom" anchorx="margin"/>
              </v:shape>
            </w:pict>
          </mc:Fallback>
        </mc:AlternateContent>
      </w:r>
      <w:r>
        <w:rPr>
          <w:rFonts w:hint="eastAsia"/>
          <w:noProof/>
        </w:rPr>
        <mc:AlternateContent>
          <mc:Choice Requires="wps">
            <w:drawing>
              <wp:anchor distT="0" distB="0" distL="114300" distR="114300" simplePos="0" relativeHeight="251650559" behindDoc="0" locked="0" layoutInCell="1" allowOverlap="1" wp14:anchorId="444C0059" wp14:editId="2236077E">
                <wp:simplePos x="0" y="0"/>
                <wp:positionH relativeFrom="margin">
                  <wp:posOffset>62889</wp:posOffset>
                </wp:positionH>
                <wp:positionV relativeFrom="paragraph">
                  <wp:posOffset>224163</wp:posOffset>
                </wp:positionV>
                <wp:extent cx="6057265" cy="1757664"/>
                <wp:effectExtent l="19050" t="19050" r="38735" b="33655"/>
                <wp:wrapNone/>
                <wp:docPr id="15" name="Rectangle 15"/>
                <wp:cNvGraphicFramePr/>
                <a:graphic xmlns:a="http://schemas.openxmlformats.org/drawingml/2006/main">
                  <a:graphicData uri="http://schemas.microsoft.com/office/word/2010/wordprocessingShape">
                    <wps:wsp>
                      <wps:cNvSpPr/>
                      <wps:spPr>
                        <a:xfrm>
                          <a:off x="0" y="0"/>
                          <a:ext cx="6057265" cy="1757664"/>
                        </a:xfrm>
                        <a:prstGeom prst="rect">
                          <a:avLst/>
                        </a:prstGeom>
                        <a:solidFill>
                          <a:schemeClr val="accent1">
                            <a:lumMod val="75000"/>
                          </a:schemeClr>
                        </a:solid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642F8" id="Rectangle 15" o:spid="_x0000_s1026" style="position:absolute;margin-left:4.95pt;margin-top:17.65pt;width:476.95pt;height:138.4pt;z-index:2516505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" fillcolor="#2f5496 [2404]" strokecolor="black [3213]" strokeweight="4pt">
                <v:stroke linestyle="thinThin"/>
                <w10:wrap anchorx="margin"/>
              </v:rect>
            </w:pict>
          </mc:Fallback>
        </mc:AlternateContent>
      </w:r>
    </w:p>
    <w:p w14:paraId="04F54B6F" w14:textId="01BB0825" w:rsidR="0004462C" w:rsidRPr="00817ECA" w:rsidRDefault="0004462C">
      <w:pPr>
        <w:pStyle w:val="Standard"/>
        <w:rPr>
          <w:rFonts w:asciiTheme="minorHAnsi" w:hAnsiTheme="minorHAnsi" w:cstheme="minorHAnsi"/>
          <w:sz w:val="28"/>
          <w:szCs w:val="28"/>
        </w:rPr>
      </w:pPr>
    </w:p>
    <w:p w14:paraId="04E8BFD0" w14:textId="5DB44795" w:rsidR="00E841CC" w:rsidRDefault="00081831" w:rsidP="00E841CC">
      <w:pPr>
        <w:pStyle w:val="Standard"/>
        <w:rPr>
          <w:rFonts w:hint="eastAsia"/>
        </w:rPr>
      </w:pPr>
      <w:r>
        <w:rPr>
          <w:rFonts w:ascii="Calibri" w:hAnsi="Calibri"/>
          <w:sz w:val="22"/>
          <w:szCs w:val="22"/>
        </w:rPr>
        <w:t xml:space="preserve">   </w:t>
      </w:r>
    </w:p>
    <w:p w14:paraId="100B0ADC" w14:textId="790ABDBD" w:rsidR="00E841CC" w:rsidRDefault="00E841CC" w:rsidP="00817ECA">
      <w:pPr>
        <w:pStyle w:val="Standard"/>
        <w:ind w:left="284" w:right="282"/>
        <w:jc w:val="center"/>
        <w:rPr>
          <w:rFonts w:ascii="Calibri" w:hAnsi="Calibri"/>
          <w:b/>
          <w:bCs/>
          <w:color w:val="FF0000"/>
          <w:sz w:val="22"/>
          <w:szCs w:val="22"/>
          <w:u w:val="single"/>
        </w:rPr>
      </w:pPr>
      <w:r>
        <w:rPr>
          <w:rFonts w:ascii="Calibri" w:hAnsi="Calibri"/>
          <w:b/>
          <w:bCs/>
          <w:noProof/>
          <w:color w:val="FF0000"/>
          <w:sz w:val="22"/>
          <w:szCs w:val="22"/>
          <w:u w:val="single"/>
        </w:rPr>
        <mc:AlternateContent>
          <mc:Choice Requires="wps">
            <w:drawing>
              <wp:anchor distT="0" distB="0" distL="114300" distR="114300" simplePos="0" relativeHeight="251666944" behindDoc="0" locked="0" layoutInCell="1" allowOverlap="1" wp14:anchorId="2C1DF160" wp14:editId="6F678030">
                <wp:simplePos x="0" y="0"/>
                <wp:positionH relativeFrom="column">
                  <wp:posOffset>78563</wp:posOffset>
                </wp:positionH>
                <wp:positionV relativeFrom="paragraph">
                  <wp:posOffset>83314</wp:posOffset>
                </wp:positionV>
                <wp:extent cx="6018836" cy="4056926"/>
                <wp:effectExtent l="0" t="0" r="20320" b="20320"/>
                <wp:wrapNone/>
                <wp:docPr id="8" name="Rectangle : coins arrondis 8"/>
                <wp:cNvGraphicFramePr/>
                <a:graphic xmlns:a="http://schemas.openxmlformats.org/drawingml/2006/main">
                  <a:graphicData uri="http://schemas.microsoft.com/office/word/2010/wordprocessingShape">
                    <wps:wsp>
                      <wps:cNvSpPr/>
                      <wps:spPr>
                        <a:xfrm>
                          <a:off x="0" y="0"/>
                          <a:ext cx="6018836" cy="4056926"/>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46F83E" id="Rectangle : coins arrondis 8" o:spid="_x0000_s1026" style="position:absolute;margin-left:6.2pt;margin-top:6.55pt;width:473.9pt;height:319.4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" filled="f" strokecolor="red" strokeweight="2pt">
                <v:stroke joinstyle="miter"/>
              </v:roundrect>
            </w:pict>
          </mc:Fallback>
        </mc:AlternateContent>
      </w:r>
    </w:p>
    <w:p w14:paraId="0142DD22" w14:textId="77777777" w:rsidR="00E841CC" w:rsidRDefault="00E841CC" w:rsidP="00817ECA">
      <w:pPr>
        <w:pStyle w:val="Standard"/>
        <w:ind w:left="284" w:right="282"/>
        <w:jc w:val="center"/>
        <w:rPr>
          <w:rFonts w:ascii="Calibri" w:hAnsi="Calibri"/>
          <w:b/>
          <w:bCs/>
          <w:color w:val="FF0000"/>
          <w:sz w:val="22"/>
          <w:szCs w:val="22"/>
          <w:u w:val="single"/>
        </w:rPr>
      </w:pPr>
    </w:p>
    <w:p w14:paraId="04F54B72" w14:textId="7068D867" w:rsidR="0004462C" w:rsidRPr="00E841CC" w:rsidRDefault="00081831" w:rsidP="00817ECA">
      <w:pPr>
        <w:pStyle w:val="Standard"/>
        <w:ind w:left="284" w:right="282"/>
        <w:jc w:val="center"/>
        <w:rPr>
          <w:rFonts w:ascii="Calibri" w:hAnsi="Calibri"/>
          <w:b/>
          <w:bCs/>
          <w:color w:val="FF0000"/>
          <w:sz w:val="28"/>
          <w:szCs w:val="28"/>
          <w:u w:val="single"/>
        </w:rPr>
      </w:pPr>
      <w:r w:rsidRPr="00E841CC">
        <w:rPr>
          <w:rFonts w:ascii="Calibri" w:hAnsi="Calibri"/>
          <w:b/>
          <w:bCs/>
          <w:color w:val="FF0000"/>
          <w:sz w:val="28"/>
          <w:szCs w:val="28"/>
          <w:u w:val="single"/>
        </w:rPr>
        <w:t>A RETENIR</w:t>
      </w:r>
    </w:p>
    <w:p w14:paraId="5E082382" w14:textId="77777777" w:rsidR="00817ECA" w:rsidRDefault="00817ECA" w:rsidP="00817ECA">
      <w:pPr>
        <w:pStyle w:val="Standard"/>
        <w:ind w:left="284" w:right="282"/>
        <w:jc w:val="center"/>
        <w:rPr>
          <w:rFonts w:ascii="Calibri" w:hAnsi="Calibri"/>
          <w:b/>
          <w:bCs/>
          <w:color w:val="FF0000"/>
          <w:sz w:val="22"/>
          <w:szCs w:val="22"/>
          <w:u w:val="single"/>
        </w:rPr>
      </w:pPr>
    </w:p>
    <w:p w14:paraId="78E9191B" w14:textId="77777777" w:rsidR="00817ECA" w:rsidRPr="00E841CC" w:rsidRDefault="00081831" w:rsidP="00817ECA">
      <w:pPr>
        <w:pStyle w:val="Standard"/>
        <w:ind w:left="284" w:right="282"/>
        <w:jc w:val="center"/>
        <w:rPr>
          <w:rFonts w:ascii="Calibri" w:hAnsi="Calibri"/>
        </w:rPr>
      </w:pPr>
      <w:r w:rsidRPr="00E841CC">
        <w:rPr>
          <w:rFonts w:ascii="Calibri" w:hAnsi="Calibri"/>
        </w:rPr>
        <w:t xml:space="preserve">La DRIEAT, l’ADEME, la Région Île-de-France, la Métropole du Grand Paris, </w:t>
      </w:r>
    </w:p>
    <w:p w14:paraId="5458C0C7" w14:textId="2238D250" w:rsidR="00817ECA" w:rsidRPr="00E841CC" w:rsidRDefault="00081831" w:rsidP="00817ECA">
      <w:pPr>
        <w:pStyle w:val="Standard"/>
        <w:ind w:left="284" w:right="282"/>
        <w:jc w:val="center"/>
        <w:rPr>
          <w:rFonts w:ascii="Calibri" w:hAnsi="Calibri"/>
        </w:rPr>
      </w:pPr>
      <w:proofErr w:type="gramStart"/>
      <w:r w:rsidRPr="00E841CC">
        <w:rPr>
          <w:rFonts w:ascii="Calibri" w:hAnsi="Calibri"/>
        </w:rPr>
        <w:t>la</w:t>
      </w:r>
      <w:proofErr w:type="gramEnd"/>
      <w:r w:rsidRPr="00E841CC">
        <w:rPr>
          <w:rFonts w:ascii="Calibri" w:hAnsi="Calibri"/>
        </w:rPr>
        <w:t xml:space="preserve"> Banque des territoires et le SYCTOM lancent</w:t>
      </w:r>
    </w:p>
    <w:p w14:paraId="547EC2E4" w14:textId="77777777" w:rsidR="00E841CC" w:rsidRDefault="00817ECA" w:rsidP="00E841CC">
      <w:pPr>
        <w:pStyle w:val="Standard"/>
        <w:spacing w:before="120"/>
        <w:ind w:left="284" w:right="284"/>
        <w:jc w:val="center"/>
        <w:rPr>
          <w:rFonts w:ascii="Calibri" w:hAnsi="Calibri"/>
          <w:b/>
          <w:bCs/>
        </w:rPr>
      </w:pPr>
      <w:r w:rsidRPr="00E841CC">
        <w:rPr>
          <w:rFonts w:ascii="Calibri" w:hAnsi="Calibri"/>
        </w:rPr>
        <w:t>U</w:t>
      </w:r>
      <w:r w:rsidR="00081831" w:rsidRPr="00E841CC">
        <w:rPr>
          <w:rFonts w:ascii="Calibri" w:hAnsi="Calibri"/>
        </w:rPr>
        <w:t>ne</w:t>
      </w:r>
      <w:r w:rsidRPr="00E841CC">
        <w:rPr>
          <w:rFonts w:ascii="Calibri" w:hAnsi="Calibri"/>
        </w:rPr>
        <w:t xml:space="preserve"> </w:t>
      </w:r>
      <w:r w:rsidR="00081831" w:rsidRPr="00E841CC">
        <w:rPr>
          <w:rFonts w:ascii="Calibri" w:hAnsi="Calibri"/>
          <w:b/>
          <w:bCs/>
        </w:rPr>
        <w:t>2</w:t>
      </w:r>
      <w:r w:rsidR="00081831" w:rsidRPr="00E841CC">
        <w:rPr>
          <w:rFonts w:ascii="Calibri" w:hAnsi="Calibri"/>
          <w:b/>
          <w:bCs/>
          <w:vertAlign w:val="superscript"/>
        </w:rPr>
        <w:t>e</w:t>
      </w:r>
      <w:r w:rsidR="00081831" w:rsidRPr="00E841CC">
        <w:rPr>
          <w:rFonts w:ascii="Calibri" w:hAnsi="Calibri"/>
          <w:b/>
          <w:bCs/>
        </w:rPr>
        <w:t xml:space="preserve"> session Ecologie industrielle et Territoriale </w:t>
      </w:r>
    </w:p>
    <w:p w14:paraId="04F54B73" w14:textId="7D2A229C" w:rsidR="0004462C" w:rsidRPr="00E841CC" w:rsidRDefault="00081831" w:rsidP="00E841CC">
      <w:pPr>
        <w:pStyle w:val="Standard"/>
        <w:spacing w:after="120"/>
        <w:ind w:left="284" w:right="284"/>
        <w:jc w:val="center"/>
        <w:rPr>
          <w:rFonts w:hint="eastAsia"/>
          <w:sz w:val="26"/>
          <w:szCs w:val="28"/>
        </w:rPr>
      </w:pPr>
      <w:proofErr w:type="gramStart"/>
      <w:r w:rsidRPr="00E841CC">
        <w:rPr>
          <w:rFonts w:ascii="Calibri" w:hAnsi="Calibri"/>
          <w:b/>
          <w:bCs/>
        </w:rPr>
        <w:t>de</w:t>
      </w:r>
      <w:proofErr w:type="gramEnd"/>
      <w:r w:rsidRPr="00E841CC">
        <w:rPr>
          <w:rFonts w:ascii="Calibri" w:hAnsi="Calibri"/>
          <w:b/>
          <w:bCs/>
        </w:rPr>
        <w:t xml:space="preserve"> l’AMI « Territoires franciliens circulaires ».</w:t>
      </w:r>
    </w:p>
    <w:p w14:paraId="51662AD6" w14:textId="77777777" w:rsidR="00E841CC" w:rsidRDefault="00E841CC" w:rsidP="00817ECA">
      <w:pPr>
        <w:pStyle w:val="Standard"/>
        <w:ind w:left="284" w:right="282"/>
        <w:jc w:val="center"/>
        <w:rPr>
          <w:rFonts w:ascii="Calibri" w:hAnsi="Calibri"/>
        </w:rPr>
      </w:pPr>
    </w:p>
    <w:p w14:paraId="74705FD2" w14:textId="1D05977A" w:rsidR="00E841CC" w:rsidRDefault="00081831" w:rsidP="00817ECA">
      <w:pPr>
        <w:pStyle w:val="Standard"/>
        <w:ind w:left="284" w:right="282"/>
        <w:jc w:val="center"/>
        <w:rPr>
          <w:rFonts w:ascii="Calibri" w:hAnsi="Calibri"/>
        </w:rPr>
      </w:pPr>
      <w:r w:rsidRPr="00E841CC">
        <w:rPr>
          <w:rFonts w:ascii="Calibri" w:hAnsi="Calibri"/>
        </w:rPr>
        <w:t xml:space="preserve">Cet AMI s’adresse à </w:t>
      </w:r>
      <w:r w:rsidRPr="00E841CC">
        <w:rPr>
          <w:rFonts w:ascii="Calibri" w:hAnsi="Calibri"/>
          <w:b/>
          <w:bCs/>
        </w:rPr>
        <w:t>tout porteur de projet ayant une implantation territoriale</w:t>
      </w:r>
      <w:r w:rsidRPr="00E841CC">
        <w:rPr>
          <w:rFonts w:ascii="Calibri" w:hAnsi="Calibri"/>
        </w:rPr>
        <w:t>.</w:t>
      </w:r>
      <w:r w:rsidR="00817ECA" w:rsidRPr="00E841CC">
        <w:rPr>
          <w:rFonts w:ascii="Calibri" w:hAnsi="Calibri"/>
        </w:rPr>
        <w:t xml:space="preserve"> </w:t>
      </w:r>
      <w:r w:rsidRPr="00E841CC">
        <w:rPr>
          <w:rFonts w:ascii="Calibri" w:hAnsi="Calibri"/>
        </w:rPr>
        <w:t xml:space="preserve">Il donne accès dans un premier temps à un </w:t>
      </w:r>
      <w:r w:rsidRPr="00E841CC">
        <w:rPr>
          <w:rFonts w:ascii="Calibri" w:hAnsi="Calibri"/>
          <w:b/>
          <w:bCs/>
        </w:rPr>
        <w:t>accompagnement technique</w:t>
      </w:r>
      <w:r w:rsidRPr="00E841CC">
        <w:rPr>
          <w:rFonts w:ascii="Calibri" w:hAnsi="Calibri"/>
        </w:rPr>
        <w:t xml:space="preserve"> individuel et collectif ;</w:t>
      </w:r>
      <w:r w:rsidR="00817ECA" w:rsidRPr="00E841CC">
        <w:rPr>
          <w:rFonts w:ascii="Calibri" w:hAnsi="Calibri"/>
        </w:rPr>
        <w:t xml:space="preserve"> </w:t>
      </w:r>
    </w:p>
    <w:p w14:paraId="04F54B77" w14:textId="32474D61" w:rsidR="0004462C" w:rsidRPr="00E841CC" w:rsidRDefault="00081831" w:rsidP="00817ECA">
      <w:pPr>
        <w:pStyle w:val="Standard"/>
        <w:ind w:left="284" w:right="282"/>
        <w:jc w:val="center"/>
        <w:rPr>
          <w:rFonts w:hint="eastAsia"/>
          <w:sz w:val="26"/>
          <w:szCs w:val="28"/>
        </w:rPr>
      </w:pPr>
      <w:proofErr w:type="gramStart"/>
      <w:r w:rsidRPr="00E841CC">
        <w:rPr>
          <w:rFonts w:ascii="Calibri" w:hAnsi="Calibri"/>
        </w:rPr>
        <w:t>et</w:t>
      </w:r>
      <w:proofErr w:type="gramEnd"/>
      <w:r w:rsidRPr="00E841CC">
        <w:rPr>
          <w:rFonts w:ascii="Calibri" w:hAnsi="Calibri"/>
        </w:rPr>
        <w:t xml:space="preserve"> dans un deuxième temps à un </w:t>
      </w:r>
      <w:r w:rsidRPr="00E841CC">
        <w:rPr>
          <w:rFonts w:ascii="Calibri" w:hAnsi="Calibri"/>
          <w:b/>
          <w:bCs/>
        </w:rPr>
        <w:t>accompagnement financier</w:t>
      </w:r>
      <w:r w:rsidRPr="00E841CC">
        <w:rPr>
          <w:rFonts w:ascii="Calibri" w:hAnsi="Calibri"/>
        </w:rPr>
        <w:t>.</w:t>
      </w:r>
    </w:p>
    <w:p w14:paraId="260DCDEC" w14:textId="77777777" w:rsidR="00E841CC" w:rsidRDefault="00E841CC" w:rsidP="00817ECA">
      <w:pPr>
        <w:pStyle w:val="Standard"/>
        <w:spacing w:before="120"/>
        <w:ind w:left="284" w:right="282"/>
        <w:jc w:val="center"/>
        <w:rPr>
          <w:rFonts w:ascii="Calibri" w:hAnsi="Calibri"/>
        </w:rPr>
      </w:pPr>
    </w:p>
    <w:p w14:paraId="28C177B0" w14:textId="77777777" w:rsidR="00E841CC" w:rsidRDefault="00E841CC" w:rsidP="00817ECA">
      <w:pPr>
        <w:pStyle w:val="Standard"/>
        <w:spacing w:before="120"/>
        <w:ind w:left="284" w:right="282"/>
        <w:jc w:val="center"/>
        <w:rPr>
          <w:rFonts w:ascii="Calibri" w:hAnsi="Calibri"/>
        </w:rPr>
      </w:pPr>
      <w:r>
        <w:rPr>
          <w:rFonts w:ascii="Calibri" w:hAnsi="Calibri"/>
        </w:rPr>
        <w:t xml:space="preserve">Les </w:t>
      </w:r>
      <w:r w:rsidRPr="00E841CC">
        <w:rPr>
          <w:rFonts w:ascii="Calibri" w:hAnsi="Calibri"/>
          <w:b/>
          <w:bCs/>
          <w:color w:val="FF0000"/>
        </w:rPr>
        <w:t>dépôts de candidatures</w:t>
      </w:r>
      <w:r w:rsidRPr="00E841CC">
        <w:rPr>
          <w:rFonts w:ascii="Calibri" w:hAnsi="Calibri"/>
          <w:color w:val="FF0000"/>
        </w:rPr>
        <w:t xml:space="preserve"> </w:t>
      </w:r>
      <w:r>
        <w:rPr>
          <w:rFonts w:ascii="Calibri" w:hAnsi="Calibri"/>
        </w:rPr>
        <w:t xml:space="preserve">avec l’ensemble des documents demandés se font </w:t>
      </w:r>
    </w:p>
    <w:p w14:paraId="32DD9041" w14:textId="6DD297DC" w:rsidR="00E841CC" w:rsidRDefault="00E841CC" w:rsidP="00E841CC">
      <w:pPr>
        <w:pStyle w:val="Standard"/>
        <w:ind w:left="284" w:right="284"/>
        <w:jc w:val="center"/>
        <w:rPr>
          <w:rFonts w:ascii="Calibri" w:hAnsi="Calibri"/>
        </w:rPr>
      </w:pPr>
      <w:r>
        <w:rPr>
          <w:rFonts w:ascii="Calibri" w:hAnsi="Calibri"/>
        </w:rPr>
        <w:t xml:space="preserve">sur la </w:t>
      </w:r>
      <w:r w:rsidRPr="00E841CC">
        <w:rPr>
          <w:rFonts w:ascii="Calibri" w:hAnsi="Calibri"/>
          <w:b/>
          <w:bCs/>
          <w:color w:val="FF0000"/>
        </w:rPr>
        <w:t>plate-forme AGIR</w:t>
      </w:r>
      <w:r w:rsidRPr="00E841CC">
        <w:rPr>
          <w:rFonts w:ascii="Calibri" w:hAnsi="Calibri"/>
          <w:color w:val="FF0000"/>
        </w:rPr>
        <w:t> </w:t>
      </w:r>
      <w:r>
        <w:rPr>
          <w:rFonts w:ascii="Calibri" w:hAnsi="Calibri"/>
        </w:rPr>
        <w:t xml:space="preserve">: </w:t>
      </w:r>
      <w:hyperlink r:id="rId14" w:history="1">
        <w:r w:rsidRPr="00E841CC">
          <w:rPr>
            <w:rStyle w:val="Lienhypertexte"/>
            <w:rFonts w:ascii="Calibri" w:hAnsi="Calibri" w:hint="eastAsia"/>
            <w:color w:val="auto"/>
          </w:rPr>
          <w:t>https://agirpourlatransition.ademe.fr/</w:t>
        </w:r>
      </w:hyperlink>
      <w:r w:rsidRPr="00E841CC">
        <w:rPr>
          <w:rFonts w:ascii="Calibri" w:hAnsi="Calibri"/>
        </w:rPr>
        <w:t xml:space="preserve"> </w:t>
      </w:r>
    </w:p>
    <w:p w14:paraId="6335666D" w14:textId="77777777" w:rsidR="00E841CC" w:rsidRDefault="00E841CC" w:rsidP="00817ECA">
      <w:pPr>
        <w:pStyle w:val="Standard"/>
        <w:spacing w:before="120"/>
        <w:ind w:left="284" w:right="282"/>
        <w:jc w:val="center"/>
        <w:rPr>
          <w:rFonts w:ascii="Calibri" w:hAnsi="Calibri"/>
        </w:rPr>
      </w:pPr>
    </w:p>
    <w:p w14:paraId="7CB75F94" w14:textId="21195097" w:rsidR="00E841CC" w:rsidRDefault="00081831" w:rsidP="00817ECA">
      <w:pPr>
        <w:pStyle w:val="Standard"/>
        <w:spacing w:before="120"/>
        <w:ind w:left="284" w:right="282"/>
        <w:jc w:val="center"/>
        <w:rPr>
          <w:rFonts w:ascii="Calibri" w:hAnsi="Calibri"/>
        </w:rPr>
      </w:pPr>
      <w:r w:rsidRPr="00E841CC">
        <w:rPr>
          <w:rFonts w:ascii="Calibri" w:hAnsi="Calibri"/>
        </w:rPr>
        <w:t xml:space="preserve">La date limite de dépôt des </w:t>
      </w:r>
      <w:r w:rsidRPr="00FD465F">
        <w:rPr>
          <w:rFonts w:ascii="Calibri" w:hAnsi="Calibri"/>
          <w:b/>
          <w:bCs/>
          <w:color w:val="FF0000"/>
          <w:u w:val="single"/>
        </w:rPr>
        <w:t>candidatures</w:t>
      </w:r>
      <w:r w:rsidRPr="00FD465F">
        <w:rPr>
          <w:rFonts w:ascii="Calibri" w:hAnsi="Calibri"/>
          <w:color w:val="FF0000"/>
        </w:rPr>
        <w:t xml:space="preserve"> </w:t>
      </w:r>
    </w:p>
    <w:p w14:paraId="04F54B78" w14:textId="19AFE1A3" w:rsidR="0004462C" w:rsidRPr="00FD465F" w:rsidRDefault="00FD465F" w:rsidP="00817ECA">
      <w:pPr>
        <w:pStyle w:val="Standard"/>
        <w:numPr>
          <w:ilvl w:val="0"/>
          <w:numId w:val="2"/>
        </w:numPr>
        <w:ind w:left="284" w:right="282" w:hanging="357"/>
        <w:jc w:val="center"/>
        <w:rPr>
          <w:rFonts w:hint="eastAsia"/>
          <w:color w:val="FF0000"/>
          <w:sz w:val="28"/>
          <w:szCs w:val="32"/>
        </w:rPr>
      </w:pPr>
      <w:r w:rsidRPr="00E841CC">
        <w:rPr>
          <w:rFonts w:ascii="Calibri" w:hAnsi="Calibri"/>
        </w:rPr>
        <w:t>E</w:t>
      </w:r>
      <w:r w:rsidR="00081831" w:rsidRPr="00E841CC">
        <w:rPr>
          <w:rFonts w:ascii="Calibri" w:hAnsi="Calibri"/>
        </w:rPr>
        <w:t>st</w:t>
      </w:r>
      <w:r>
        <w:rPr>
          <w:rFonts w:ascii="Calibri" w:hAnsi="Calibri"/>
        </w:rPr>
        <w:t xml:space="preserve"> fixée au </w:t>
      </w:r>
      <w:r w:rsidR="00551633" w:rsidRPr="00FD465F">
        <w:rPr>
          <w:rFonts w:ascii="Calibri" w:hAnsi="Calibri"/>
          <w:b/>
          <w:bCs/>
          <w:color w:val="FF0000"/>
          <w:sz w:val="28"/>
          <w:szCs w:val="28"/>
          <w:u w:val="single"/>
        </w:rPr>
        <w:t>7 avril</w:t>
      </w:r>
      <w:r w:rsidR="00081831" w:rsidRPr="00FD465F">
        <w:rPr>
          <w:rFonts w:ascii="Calibri" w:hAnsi="Calibri"/>
          <w:b/>
          <w:bCs/>
          <w:color w:val="FF0000"/>
          <w:sz w:val="28"/>
          <w:szCs w:val="28"/>
          <w:u w:val="single"/>
        </w:rPr>
        <w:t xml:space="preserve"> à 14h</w:t>
      </w:r>
      <w:r w:rsidRPr="00FD465F">
        <w:rPr>
          <w:rFonts w:ascii="Calibri" w:hAnsi="Calibri"/>
          <w:b/>
          <w:bCs/>
          <w:color w:val="FF0000"/>
          <w:sz w:val="28"/>
          <w:szCs w:val="28"/>
          <w:u w:val="single"/>
        </w:rPr>
        <w:t>00</w:t>
      </w:r>
      <w:r w:rsidR="00081831" w:rsidRPr="00FD465F">
        <w:rPr>
          <w:rFonts w:ascii="Calibri" w:hAnsi="Calibri"/>
          <w:color w:val="FF0000"/>
          <w:sz w:val="28"/>
          <w:szCs w:val="28"/>
        </w:rPr>
        <w:t>.</w:t>
      </w:r>
    </w:p>
    <w:p w14:paraId="11C90D1C" w14:textId="6908B2A7" w:rsidR="00462C32" w:rsidRDefault="00462C32" w:rsidP="00462C32">
      <w:pPr>
        <w:pStyle w:val="Standard"/>
        <w:ind w:left="720" w:right="282"/>
        <w:rPr>
          <w:rFonts w:ascii="Calibri" w:hAnsi="Calibri"/>
          <w:sz w:val="22"/>
          <w:szCs w:val="22"/>
        </w:rPr>
      </w:pPr>
    </w:p>
    <w:p w14:paraId="0DBA9573" w14:textId="77777777" w:rsidR="00462C32" w:rsidRPr="00462C32" w:rsidRDefault="00462C32" w:rsidP="00462C32">
      <w:pPr>
        <w:pStyle w:val="Standard"/>
        <w:ind w:left="720" w:right="282"/>
        <w:rPr>
          <w:rFonts w:ascii="Calibri" w:hAnsi="Calibri"/>
          <w:sz w:val="22"/>
          <w:szCs w:val="22"/>
        </w:rPr>
      </w:pPr>
    </w:p>
    <w:p w14:paraId="1AB3AAFC" w14:textId="77777777" w:rsidR="00462C32" w:rsidRDefault="00462C32" w:rsidP="00462C32">
      <w:pPr>
        <w:pStyle w:val="Standard"/>
        <w:ind w:left="360" w:right="282"/>
        <w:jc w:val="center"/>
        <w:rPr>
          <w:rFonts w:ascii="Calibri" w:hAnsi="Calibri"/>
          <w:b/>
          <w:bCs/>
          <w:sz w:val="22"/>
          <w:szCs w:val="22"/>
        </w:rPr>
      </w:pPr>
    </w:p>
    <w:p w14:paraId="64B40D41" w14:textId="4A041C04" w:rsidR="00462C32" w:rsidRDefault="00462C32" w:rsidP="00462C32">
      <w:pPr>
        <w:pStyle w:val="Standard"/>
        <w:ind w:left="360" w:right="282"/>
        <w:jc w:val="center"/>
        <w:rPr>
          <w:rFonts w:ascii="Calibri" w:hAnsi="Calibri"/>
          <w:sz w:val="22"/>
          <w:szCs w:val="22"/>
        </w:rPr>
      </w:pPr>
      <w:r>
        <w:rPr>
          <w:rFonts w:ascii="Calibri" w:hAnsi="Calibri"/>
          <w:b/>
          <w:bCs/>
          <w:sz w:val="22"/>
          <w:szCs w:val="22"/>
        </w:rPr>
        <w:t>Lors de la 1ere session de l’AMI</w:t>
      </w:r>
      <w:r>
        <w:rPr>
          <w:rFonts w:ascii="Calibri" w:hAnsi="Calibri"/>
          <w:sz w:val="22"/>
          <w:szCs w:val="22"/>
        </w:rPr>
        <w:t xml:space="preserve">, 7 territoires se sont engagés dans une démarche d’Ecologie industrielle et territoriale, rejoignez-les ! </w:t>
      </w:r>
    </w:p>
    <w:p w14:paraId="6A6D67E7" w14:textId="77777777" w:rsidR="00462C32" w:rsidRDefault="00462C32" w:rsidP="00462C32">
      <w:pPr>
        <w:pStyle w:val="Standard"/>
        <w:ind w:left="360" w:right="282"/>
        <w:jc w:val="center"/>
        <w:rPr>
          <w:rFonts w:ascii="Calibri" w:hAnsi="Calibri"/>
          <w:sz w:val="22"/>
          <w:szCs w:val="22"/>
        </w:rPr>
      </w:pPr>
    </w:p>
    <w:p w14:paraId="0237FB56" w14:textId="77777777" w:rsidR="00462C32" w:rsidRDefault="00462C32" w:rsidP="00462C32">
      <w:pPr>
        <w:pStyle w:val="Standard"/>
        <w:ind w:left="360" w:right="282"/>
        <w:jc w:val="center"/>
        <w:rPr>
          <w:rFonts w:ascii="Calibri" w:hAnsi="Calibri"/>
          <w:sz w:val="22"/>
          <w:szCs w:val="22"/>
        </w:rPr>
      </w:pPr>
      <w:r>
        <w:rPr>
          <w:rFonts w:ascii="Calibri" w:hAnsi="Calibri"/>
          <w:sz w:val="22"/>
          <w:szCs w:val="22"/>
        </w:rPr>
        <w:t xml:space="preserve">Vous pouvez les retrouver ici : </w:t>
      </w:r>
      <w:hyperlink r:id="rId15" w:history="1">
        <w:r>
          <w:rPr>
            <w:rStyle w:val="Lienhypertexte"/>
            <w:rFonts w:ascii="Calibri" w:hAnsi="Calibri"/>
            <w:sz w:val="22"/>
            <w:szCs w:val="22"/>
          </w:rPr>
          <w:t>https://ile-de-france.ademe.fr/sites/default/files/cp-ami-eit-laureats.pdf</w:t>
        </w:r>
      </w:hyperlink>
      <w:r>
        <w:rPr>
          <w:rFonts w:ascii="Calibri" w:hAnsi="Calibri"/>
          <w:sz w:val="22"/>
          <w:szCs w:val="22"/>
        </w:rPr>
        <w:t xml:space="preserve"> </w:t>
      </w:r>
    </w:p>
    <w:p w14:paraId="04F54B79" w14:textId="38B1D3BB" w:rsidR="0004462C" w:rsidRDefault="00462C32" w:rsidP="00462C32">
      <w:pPr>
        <w:pStyle w:val="Standard"/>
        <w:ind w:left="360" w:right="282"/>
        <w:jc w:val="center"/>
        <w:rPr>
          <w:rFonts w:ascii="Calibri" w:hAnsi="Calibri"/>
          <w:sz w:val="22"/>
          <w:szCs w:val="22"/>
        </w:rPr>
      </w:pPr>
      <w:r>
        <w:rPr>
          <w:rFonts w:ascii="Calibri" w:hAnsi="Calibri"/>
          <w:kern w:val="0"/>
          <w:sz w:val="22"/>
          <w:szCs w:val="22"/>
        </w:rPr>
        <w:t xml:space="preserve">Et d’ores et déjà rejoindre le groupe Synapse du réseau EIT en Île-de-France, où sont mis à disposition guides, outils et méthodologies : </w:t>
      </w:r>
      <w:hyperlink r:id="rId16" w:history="1">
        <w:r>
          <w:rPr>
            <w:rStyle w:val="Lienhypertexte"/>
            <w:rFonts w:ascii="Calibri" w:hAnsi="Calibri"/>
            <w:kern w:val="0"/>
            <w:sz w:val="22"/>
            <w:szCs w:val="22"/>
          </w:rPr>
          <w:t>https://www.reseau-synapse.org/community/pg/groups/19996/reseau-eit-en-ile-de-france/</w:t>
        </w:r>
      </w:hyperlink>
    </w:p>
    <w:p w14:paraId="7D8D13A1" w14:textId="77777777" w:rsidR="00817ECA" w:rsidRDefault="00817ECA">
      <w:pPr>
        <w:pStyle w:val="Standard"/>
        <w:jc w:val="both"/>
        <w:rPr>
          <w:rFonts w:ascii="Calibri" w:hAnsi="Calibri"/>
          <w:sz w:val="22"/>
          <w:szCs w:val="22"/>
        </w:rPr>
      </w:pPr>
    </w:p>
    <w:p w14:paraId="669B15F4" w14:textId="77777777" w:rsidR="00E841CC" w:rsidRDefault="00E841CC">
      <w:pPr>
        <w:suppressAutoHyphens w:val="0"/>
        <w:rPr>
          <w:rFonts w:ascii="Calibri" w:hAnsi="Calibri"/>
          <w:sz w:val="22"/>
          <w:szCs w:val="22"/>
        </w:rPr>
      </w:pPr>
      <w:r>
        <w:rPr>
          <w:rFonts w:ascii="Calibri" w:hAnsi="Calibri"/>
          <w:sz w:val="22"/>
          <w:szCs w:val="22"/>
        </w:rPr>
        <w:br w:type="page"/>
      </w:r>
    </w:p>
    <w:p w14:paraId="04F54B7A" w14:textId="2F443467" w:rsidR="0004462C" w:rsidRDefault="00081831">
      <w:pPr>
        <w:pStyle w:val="Standard"/>
        <w:jc w:val="both"/>
        <w:rPr>
          <w:rFonts w:hint="eastAsia"/>
        </w:rPr>
      </w:pPr>
      <w:r>
        <w:rPr>
          <w:rFonts w:ascii="Calibri" w:hAnsi="Calibri"/>
          <w:sz w:val="22"/>
          <w:szCs w:val="22"/>
        </w:rPr>
        <w:lastRenderedPageBreak/>
        <w:t>La DRIEAT, l’ADEME, la Région Île-de-France, la Métropole du Grand Paris, la Banque des territoires et l’agence métropolitaine des déchets ménagers (SYCTOM) sont engagées dans la mise en œuvre d’actions d’accompagnement, de mise en réseau, de soutien technique et financier aux acteurs territoriaux souhaitant adopter des démarches d’économie circulaire.</w:t>
      </w:r>
    </w:p>
    <w:p w14:paraId="04F54B7B" w14:textId="77777777" w:rsidR="0004462C" w:rsidRDefault="0004462C">
      <w:pPr>
        <w:pStyle w:val="Standard"/>
        <w:jc w:val="both"/>
        <w:rPr>
          <w:rFonts w:ascii="Calibri" w:hAnsi="Calibri"/>
          <w:sz w:val="22"/>
          <w:szCs w:val="22"/>
        </w:rPr>
      </w:pPr>
    </w:p>
    <w:p w14:paraId="04F54B7C" w14:textId="77777777" w:rsidR="0004462C" w:rsidRDefault="00081831">
      <w:pPr>
        <w:pStyle w:val="Standard"/>
        <w:jc w:val="both"/>
        <w:rPr>
          <w:rFonts w:hint="eastAsia"/>
        </w:rPr>
      </w:pPr>
      <w:r>
        <w:rPr>
          <w:rFonts w:ascii="Calibri" w:hAnsi="Calibri"/>
          <w:sz w:val="22"/>
          <w:szCs w:val="22"/>
        </w:rPr>
        <w:t xml:space="preserve">La Région Île-de-France a élaboré la SREC, </w:t>
      </w:r>
      <w:hyperlink r:id="rId17" w:anchor=":~:text=de%20cette%20strat%C3%A9gie.-,%C3%89conomie%20circulaire%20%3A%20un%20gisement%20de%20d%C3%A9veloppement%20et%20d'attractivit%C3%A9%20pour,les%20secteurs%20de%20son%20%C3%A9conomie." w:history="1">
        <w:r>
          <w:rPr>
            <w:rStyle w:val="Lienhypertexte"/>
            <w:rFonts w:ascii="Calibri" w:hAnsi="Calibri"/>
            <w:sz w:val="22"/>
            <w:szCs w:val="22"/>
          </w:rPr>
          <w:t>Stratégie Régionale en faveur de l’Économie Circulaire</w:t>
        </w:r>
      </w:hyperlink>
      <w:r>
        <w:rPr>
          <w:rFonts w:ascii="Calibri" w:hAnsi="Calibri"/>
          <w:sz w:val="22"/>
          <w:szCs w:val="22"/>
        </w:rPr>
        <w:t>. Approuvée en septembre 2020, elle propose un cadre partenarial d’actions pour assurer la transition vers l’économie circulaire. Celle-ci prévoit le lancement d’un Appel à Manifestation d’Intérêt (AMI) « Territoires franciliens circulaires » pour atteindre 100 % des territoires franciliens engagés dans l’économie circulaire d’ici 2030 en partenariat avec l’ADEME, la DRIEAT et la Banque des Territoires.</w:t>
      </w:r>
    </w:p>
    <w:p w14:paraId="04F54B7D" w14:textId="77777777" w:rsidR="0004462C" w:rsidRDefault="0004462C">
      <w:pPr>
        <w:pStyle w:val="Standard"/>
        <w:jc w:val="both"/>
        <w:rPr>
          <w:rFonts w:ascii="Calibri" w:hAnsi="Calibri"/>
          <w:sz w:val="22"/>
          <w:szCs w:val="22"/>
        </w:rPr>
      </w:pPr>
    </w:p>
    <w:p w14:paraId="04F54B7E" w14:textId="77777777" w:rsidR="0004462C" w:rsidRDefault="00081831">
      <w:pPr>
        <w:pStyle w:val="Standard"/>
        <w:jc w:val="both"/>
        <w:rPr>
          <w:rFonts w:ascii="Calibri" w:hAnsi="Calibri"/>
          <w:sz w:val="22"/>
          <w:szCs w:val="22"/>
        </w:rPr>
      </w:pPr>
      <w:r>
        <w:rPr>
          <w:rFonts w:ascii="Calibri" w:hAnsi="Calibri"/>
          <w:sz w:val="22"/>
          <w:szCs w:val="22"/>
        </w:rPr>
        <w:t>L’ADEME et la DRIEAT s’inscrivent comme des acteurs clés pour accompagner les démarches franciliennes d’économie circulaire. L’ADEME propose plusieurs dispositifs de soutien à destination des collectivités ou des acteurs économiques visant à accompagner l’élaboration de leur stratégie ou la mise en œuvre d’actions en matière d’économie circulaire. </w:t>
      </w:r>
    </w:p>
    <w:p w14:paraId="04F54B7F" w14:textId="77777777" w:rsidR="0004462C" w:rsidRDefault="0004462C">
      <w:pPr>
        <w:pStyle w:val="Standard"/>
        <w:jc w:val="both"/>
        <w:rPr>
          <w:rFonts w:ascii="Calibri" w:hAnsi="Calibri"/>
          <w:sz w:val="22"/>
          <w:szCs w:val="22"/>
        </w:rPr>
      </w:pPr>
    </w:p>
    <w:p w14:paraId="04F54B80" w14:textId="77777777" w:rsidR="0004462C" w:rsidRDefault="00081831">
      <w:pPr>
        <w:pStyle w:val="Standard"/>
        <w:jc w:val="both"/>
        <w:rPr>
          <w:rFonts w:hint="eastAsia"/>
        </w:rPr>
      </w:pPr>
      <w:r>
        <w:rPr>
          <w:rFonts w:ascii="Calibri" w:hAnsi="Calibri"/>
          <w:sz w:val="22"/>
          <w:szCs w:val="22"/>
        </w:rPr>
        <w:t xml:space="preserve">La Métropole du Grand Paris a adopté en juillet 2022 sa première </w:t>
      </w:r>
      <w:hyperlink r:id="rId18" w:anchor=":~:text=La%20premi%C3%A8re%20strat%C3%A9gie%20m%C3%A9tropolitaine%20d,du%20lien%20entre%20les%20acteurs." w:history="1">
        <w:r>
          <w:rPr>
            <w:rStyle w:val="Lienhypertexte"/>
            <w:rFonts w:ascii="Calibri" w:hAnsi="Calibri"/>
            <w:sz w:val="22"/>
            <w:szCs w:val="22"/>
          </w:rPr>
          <w:t>Stratégie métropolitaine d’économie circulaire et solidaire</w:t>
        </w:r>
      </w:hyperlink>
      <w:r>
        <w:rPr>
          <w:rFonts w:ascii="Calibri" w:hAnsi="Calibri"/>
          <w:sz w:val="22"/>
          <w:szCs w:val="22"/>
        </w:rPr>
        <w:t>. Parmi les 5 axes stratégiques, figure le soutien de la transition circulaire et solidaire des communes et des territoires notamment en favorisant le développement de synergies sur le territoire métropolitain.</w:t>
      </w:r>
    </w:p>
    <w:p w14:paraId="04F54B81" w14:textId="77777777" w:rsidR="0004462C" w:rsidRDefault="0004462C">
      <w:pPr>
        <w:pStyle w:val="Standard"/>
        <w:jc w:val="both"/>
        <w:rPr>
          <w:rFonts w:ascii="Calibri" w:hAnsi="Calibri"/>
          <w:sz w:val="22"/>
          <w:szCs w:val="22"/>
        </w:rPr>
      </w:pPr>
    </w:p>
    <w:p w14:paraId="04F54B82" w14:textId="77777777" w:rsidR="0004462C" w:rsidRDefault="00081831">
      <w:pPr>
        <w:pStyle w:val="Standard"/>
        <w:jc w:val="both"/>
        <w:rPr>
          <w:rFonts w:ascii="Calibri" w:hAnsi="Calibri"/>
          <w:sz w:val="22"/>
          <w:szCs w:val="22"/>
        </w:rPr>
      </w:pPr>
      <w:r>
        <w:rPr>
          <w:rFonts w:ascii="Calibri" w:hAnsi="Calibri"/>
          <w:sz w:val="22"/>
          <w:szCs w:val="22"/>
        </w:rPr>
        <w:t>La Banque des Territoires par son ancrage territorial, participe activement à ce processus et peut accompagner en tant qu’investisseur en fonds propres les acteurs économiques dans le financement de leurs projets en matière d’économie circulaire.</w:t>
      </w:r>
    </w:p>
    <w:p w14:paraId="04F54B83" w14:textId="77777777" w:rsidR="0004462C" w:rsidRDefault="0004462C">
      <w:pPr>
        <w:pStyle w:val="Standard"/>
        <w:jc w:val="both"/>
        <w:rPr>
          <w:rFonts w:ascii="Calibri" w:hAnsi="Calibri"/>
          <w:sz w:val="22"/>
          <w:szCs w:val="22"/>
        </w:rPr>
      </w:pPr>
    </w:p>
    <w:p w14:paraId="04F54B84" w14:textId="77777777" w:rsidR="0004462C" w:rsidRDefault="00081831">
      <w:pPr>
        <w:pStyle w:val="Standard"/>
        <w:jc w:val="both"/>
        <w:rPr>
          <w:rFonts w:hint="eastAsia"/>
        </w:rPr>
      </w:pPr>
      <w:r>
        <w:rPr>
          <w:rFonts w:ascii="Calibri" w:hAnsi="Calibri"/>
          <w:sz w:val="22"/>
          <w:szCs w:val="22"/>
        </w:rPr>
        <w:t xml:space="preserve">Le SYCTOM soutient, dans le cadre du </w:t>
      </w:r>
      <w:hyperlink r:id="rId19" w:history="1">
        <w:r>
          <w:rPr>
            <w:rStyle w:val="Lienhypertexte"/>
            <w:rFonts w:ascii="Calibri" w:hAnsi="Calibri"/>
            <w:sz w:val="22"/>
            <w:szCs w:val="22"/>
          </w:rPr>
          <w:t>dispositif d</w:t>
        </w:r>
        <w:bookmarkStart w:id="0" w:name="_Hlt126577763"/>
        <w:bookmarkStart w:id="1" w:name="_Hlt126577764"/>
        <w:r>
          <w:rPr>
            <w:rStyle w:val="Lienhypertexte"/>
            <w:rFonts w:ascii="Calibri" w:hAnsi="Calibri"/>
            <w:sz w:val="22"/>
            <w:szCs w:val="22"/>
          </w:rPr>
          <w:t>’</w:t>
        </w:r>
        <w:bookmarkEnd w:id="0"/>
        <w:bookmarkEnd w:id="1"/>
        <w:r>
          <w:rPr>
            <w:rStyle w:val="Lienhypertexte"/>
            <w:rFonts w:ascii="Calibri" w:hAnsi="Calibri"/>
            <w:sz w:val="22"/>
            <w:szCs w:val="22"/>
          </w:rPr>
          <w:t>accompagnement 2021-2026</w:t>
        </w:r>
      </w:hyperlink>
      <w:r>
        <w:rPr>
          <w:rFonts w:ascii="Calibri" w:hAnsi="Calibri"/>
          <w:sz w:val="22"/>
          <w:szCs w:val="22"/>
        </w:rPr>
        <w:t xml:space="preserve">  les EPT, les associations et collectivités de son territoire.</w:t>
      </w:r>
    </w:p>
    <w:p w14:paraId="04F54B86" w14:textId="49CBF7B4" w:rsidR="0004462C" w:rsidRDefault="00081831" w:rsidP="00FD465F">
      <w:pPr>
        <w:suppressAutoHyphens w:val="0"/>
        <w:rPr>
          <w:rFonts w:ascii="Calibri" w:hAnsi="Calibri"/>
          <w:sz w:val="22"/>
          <w:szCs w:val="22"/>
        </w:rPr>
      </w:pPr>
      <w:r>
        <w:rPr>
          <w:rFonts w:ascii="Calibri" w:hAnsi="Calibri"/>
          <w:sz w:val="22"/>
          <w:szCs w:val="22"/>
        </w:rPr>
        <w:t>Dans le prolongement de l’initiative portée en 2022 par la Région Île-de-France, l’ADEME, la DRIEAT et la Banque des Territoires, est lancé une seconde session de l’Appel à Manifestation d’Intérêt – AMI « Territoires franciliens circulaires » sur le volet Écologie industrielle et territoriale (EIT). Cette nouvelle initiative conjointe associe désormais la Métropole du Grand Paris et le SYCTOM.</w:t>
      </w:r>
    </w:p>
    <w:p w14:paraId="04F54B87" w14:textId="77777777" w:rsidR="0004462C" w:rsidRDefault="0004462C">
      <w:pPr>
        <w:pStyle w:val="Standard"/>
        <w:jc w:val="both"/>
        <w:rPr>
          <w:rFonts w:ascii="Calibri" w:hAnsi="Calibri"/>
          <w:sz w:val="22"/>
          <w:szCs w:val="22"/>
        </w:rPr>
      </w:pPr>
    </w:p>
    <w:p w14:paraId="04F54B88" w14:textId="77777777" w:rsidR="0004462C" w:rsidRPr="00817ECA" w:rsidRDefault="00081831">
      <w:pPr>
        <w:pStyle w:val="Standard"/>
        <w:jc w:val="both"/>
        <w:rPr>
          <w:rFonts w:hint="eastAsia"/>
        </w:rPr>
      </w:pPr>
      <w:r w:rsidRPr="00817ECA">
        <w:rPr>
          <w:rFonts w:ascii="Calibri" w:hAnsi="Calibri"/>
          <w:sz w:val="22"/>
          <w:szCs w:val="22"/>
        </w:rPr>
        <w:t xml:space="preserve">L’AMI est en lien avec la mise en place de la </w:t>
      </w:r>
      <w:hyperlink r:id="rId20" w:history="1">
        <w:hyperlink r:id="rId21" w:history="1">
          <w:r w:rsidRPr="00817ECA">
            <w:rPr>
              <w:rStyle w:val="Lienhypertexte"/>
              <w:rFonts w:ascii="Calibri" w:hAnsi="Calibri"/>
              <w:color w:val="auto"/>
              <w:sz w:val="22"/>
              <w:szCs w:val="22"/>
            </w:rPr>
            <w:t>Communauté des territoires franciliens circulaires</w:t>
          </w:r>
        </w:hyperlink>
      </w:hyperlink>
      <w:r w:rsidRPr="00817ECA">
        <w:rPr>
          <w:rFonts w:ascii="Calibri" w:hAnsi="Calibri"/>
          <w:sz w:val="22"/>
          <w:szCs w:val="22"/>
        </w:rPr>
        <w:t>, action de la Stratégie régionale en faveur de l’économie circulaire, dans laquelle les lauréats seront également intégrés. Cette Communauté constitue un lieu d’échanges et d’accompagnement à destination des territoires, et intègre un réseau « EIT en Île-de-France » spécifiquement dédié à l’accompagnement du déploiement de l’EIT sur le territoire francilien.</w:t>
      </w:r>
    </w:p>
    <w:p w14:paraId="04F54B89" w14:textId="77777777" w:rsidR="0004462C" w:rsidRDefault="0004462C">
      <w:pPr>
        <w:pStyle w:val="Standard"/>
        <w:jc w:val="both"/>
        <w:rPr>
          <w:rFonts w:ascii="Calibri" w:hAnsi="Calibri"/>
          <w:sz w:val="22"/>
          <w:szCs w:val="22"/>
        </w:rPr>
      </w:pPr>
    </w:p>
    <w:p w14:paraId="04F54B8A" w14:textId="77777777" w:rsidR="0004462C" w:rsidRDefault="00081831" w:rsidP="004B44F4">
      <w:pPr>
        <w:pStyle w:val="Standard"/>
        <w:spacing w:after="120"/>
        <w:jc w:val="both"/>
        <w:rPr>
          <w:rFonts w:ascii="Calibri" w:hAnsi="Calibri"/>
          <w:sz w:val="22"/>
          <w:szCs w:val="22"/>
        </w:rPr>
      </w:pPr>
      <w:r>
        <w:rPr>
          <w:rFonts w:ascii="Calibri" w:hAnsi="Calibri"/>
          <w:sz w:val="22"/>
          <w:szCs w:val="22"/>
        </w:rPr>
        <w:t xml:space="preserve">Les </w:t>
      </w:r>
      <w:r w:rsidRPr="004B44F4">
        <w:rPr>
          <w:rFonts w:ascii="Calibri" w:hAnsi="Calibri"/>
          <w:b/>
          <w:bCs/>
          <w:sz w:val="22"/>
          <w:szCs w:val="22"/>
        </w:rPr>
        <w:t>lauréats</w:t>
      </w:r>
      <w:r>
        <w:rPr>
          <w:rFonts w:ascii="Calibri" w:hAnsi="Calibri"/>
          <w:sz w:val="22"/>
          <w:szCs w:val="22"/>
        </w:rPr>
        <w:t xml:space="preserve"> seront intégrés au réseau des acteurs franciliens de l’EIT et bénéficieront d’un accompagnement renforcé et dédié leur permettant :</w:t>
      </w:r>
    </w:p>
    <w:p w14:paraId="04F54B8B" w14:textId="1C68DF84" w:rsidR="0004462C" w:rsidRDefault="004B44F4" w:rsidP="004B44F4">
      <w:pPr>
        <w:pStyle w:val="Standard"/>
        <w:numPr>
          <w:ilvl w:val="0"/>
          <w:numId w:val="11"/>
        </w:numPr>
        <w:jc w:val="both"/>
        <w:rPr>
          <w:rFonts w:ascii="Calibri" w:hAnsi="Calibri"/>
          <w:sz w:val="22"/>
          <w:szCs w:val="22"/>
        </w:rPr>
      </w:pPr>
      <w:r>
        <w:rPr>
          <w:rFonts w:ascii="Calibri" w:hAnsi="Calibri"/>
          <w:sz w:val="22"/>
          <w:szCs w:val="22"/>
        </w:rPr>
        <w:t>D</w:t>
      </w:r>
      <w:r w:rsidR="00081831">
        <w:rPr>
          <w:rFonts w:ascii="Calibri" w:hAnsi="Calibri"/>
          <w:sz w:val="22"/>
          <w:szCs w:val="22"/>
        </w:rPr>
        <w:t>ans une première phase d’intégrer un parcours de formation et d’appui technique adapté à leur degré de maturité, afin de structurer et maturer leur projet ;</w:t>
      </w:r>
    </w:p>
    <w:p w14:paraId="04F54B8C" w14:textId="11240A1E" w:rsidR="0004462C" w:rsidRDefault="004B44F4" w:rsidP="004B44F4">
      <w:pPr>
        <w:pStyle w:val="Standard"/>
        <w:numPr>
          <w:ilvl w:val="0"/>
          <w:numId w:val="11"/>
        </w:numPr>
        <w:jc w:val="both"/>
        <w:rPr>
          <w:rFonts w:ascii="Calibri" w:hAnsi="Calibri"/>
          <w:sz w:val="22"/>
          <w:szCs w:val="22"/>
        </w:rPr>
      </w:pPr>
      <w:r>
        <w:rPr>
          <w:rFonts w:ascii="Calibri" w:hAnsi="Calibri"/>
          <w:sz w:val="22"/>
          <w:szCs w:val="22"/>
        </w:rPr>
        <w:t>D</w:t>
      </w:r>
      <w:r w:rsidR="00081831">
        <w:rPr>
          <w:rFonts w:ascii="Calibri" w:hAnsi="Calibri"/>
          <w:sz w:val="22"/>
          <w:szCs w:val="22"/>
        </w:rPr>
        <w:t>ans un second temps, de candidater à des soutiens financiers dans le cadre du déploiement de leur démarche d’EIT.</w:t>
      </w:r>
    </w:p>
    <w:p w14:paraId="04F54B8D" w14:textId="77777777" w:rsidR="0004462C" w:rsidRDefault="0004462C">
      <w:pPr>
        <w:pStyle w:val="Standard"/>
        <w:jc w:val="both"/>
        <w:rPr>
          <w:rFonts w:hint="eastAsia"/>
        </w:rPr>
      </w:pPr>
    </w:p>
    <w:p w14:paraId="349839FD" w14:textId="77777777" w:rsidR="00FD465F" w:rsidRDefault="00FD465F">
      <w:pPr>
        <w:suppressAutoHyphens w:val="0"/>
        <w:rPr>
          <w:rFonts w:hint="eastAsia"/>
        </w:rPr>
      </w:pPr>
      <w:r>
        <w:rPr>
          <w:rFonts w:hint="eastAsia"/>
        </w:rPr>
        <w:br w:type="page"/>
      </w:r>
    </w:p>
    <w:p w14:paraId="04F54B8E" w14:textId="3BDE3687" w:rsidR="0004462C" w:rsidRDefault="00FD465F">
      <w:pPr>
        <w:pStyle w:val="Standard"/>
        <w:jc w:val="both"/>
        <w:rPr>
          <w:rFonts w:hint="eastAsia"/>
        </w:rPr>
      </w:pPr>
      <w:r>
        <w:rPr>
          <w:rFonts w:ascii="Calibri" w:hAnsi="Calibri"/>
          <w:noProof/>
          <w:color w:val="000000"/>
          <w:sz w:val="22"/>
          <w:szCs w:val="22"/>
        </w:rPr>
        <w:lastRenderedPageBreak/>
        <w:drawing>
          <wp:anchor distT="0" distB="0" distL="114300" distR="114300" simplePos="0" relativeHeight="251656704" behindDoc="1" locked="0" layoutInCell="1" allowOverlap="1" wp14:anchorId="04F54B7C" wp14:editId="204013A4">
            <wp:simplePos x="0" y="0"/>
            <wp:positionH relativeFrom="margin">
              <wp:align>right</wp:align>
            </wp:positionH>
            <wp:positionV relativeFrom="paragraph">
              <wp:posOffset>72777</wp:posOffset>
            </wp:positionV>
            <wp:extent cx="6180866" cy="390814"/>
            <wp:effectExtent l="19050" t="19050" r="10795" b="28575"/>
            <wp:wrapNone/>
            <wp:docPr id="9" name="Forme1_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lum/>
                      <a:alphaModFix/>
                    </a:blip>
                    <a:srcRect/>
                    <a:stretch>
                      <a:fillRect/>
                    </a:stretch>
                  </pic:blipFill>
                  <pic:spPr>
                    <a:xfrm>
                      <a:off x="0" y="0"/>
                      <a:ext cx="6180866" cy="390814"/>
                    </a:xfrm>
                    <a:prstGeom prst="rect">
                      <a:avLst/>
                    </a:prstGeom>
                    <a:solidFill>
                      <a:sysClr val="windowText" lastClr="000000"/>
                    </a:solidFill>
                    <a:ln w="0">
                      <a:solidFill>
                        <a:srgbClr val="000000"/>
                      </a:solidFill>
                      <a:prstDash val="solid"/>
                    </a:ln>
                  </pic:spPr>
                </pic:pic>
              </a:graphicData>
            </a:graphic>
            <wp14:sizeRelH relativeFrom="margin">
              <wp14:pctWidth>0</wp14:pctWidth>
            </wp14:sizeRelH>
            <wp14:sizeRelV relativeFrom="margin">
              <wp14:pctHeight>0</wp14:pctHeight>
            </wp14:sizeRelV>
          </wp:anchor>
        </w:drawing>
      </w:r>
    </w:p>
    <w:p w14:paraId="04F54B8F" w14:textId="182E1B68" w:rsidR="0004462C" w:rsidRDefault="00081831">
      <w:pPr>
        <w:pStyle w:val="Standard"/>
        <w:tabs>
          <w:tab w:val="left" w:pos="968"/>
        </w:tabs>
        <w:jc w:val="both"/>
        <w:rPr>
          <w:rFonts w:ascii="Calibri" w:hAnsi="Calibri" w:cs="Calibri"/>
          <w:b/>
          <w:bCs/>
          <w:color w:val="FFFFFF"/>
        </w:rPr>
      </w:pPr>
      <w:r>
        <w:rPr>
          <w:rFonts w:ascii="Calibri" w:hAnsi="Calibri" w:cs="Calibri"/>
          <w:b/>
          <w:bCs/>
          <w:color w:val="FFFFFF"/>
        </w:rPr>
        <w:t>Préambule : Qu’est-ce que l’Ecologie industrielle et territoriale (EIT) ?</w:t>
      </w:r>
    </w:p>
    <w:p w14:paraId="04F54B90" w14:textId="36D1F5ED" w:rsidR="0004462C" w:rsidRDefault="0004462C">
      <w:pPr>
        <w:pStyle w:val="Standard"/>
        <w:jc w:val="both"/>
        <w:rPr>
          <w:rFonts w:ascii="Calibri" w:hAnsi="Calibri"/>
          <w:color w:val="000000"/>
          <w:sz w:val="22"/>
          <w:szCs w:val="22"/>
        </w:rPr>
      </w:pPr>
    </w:p>
    <w:p w14:paraId="640C34CB" w14:textId="77777777" w:rsidR="004B44F4" w:rsidRDefault="004B44F4">
      <w:pPr>
        <w:pStyle w:val="Standard"/>
        <w:jc w:val="both"/>
        <w:rPr>
          <w:rFonts w:ascii="Calibri" w:hAnsi="Calibri"/>
          <w:color w:val="000000"/>
          <w:sz w:val="22"/>
          <w:szCs w:val="22"/>
        </w:rPr>
      </w:pPr>
    </w:p>
    <w:p w14:paraId="04F54B91" w14:textId="7E537DC0" w:rsidR="0004462C" w:rsidRDefault="00081831">
      <w:pPr>
        <w:pStyle w:val="Standard"/>
        <w:jc w:val="both"/>
        <w:rPr>
          <w:rFonts w:ascii="Calibri" w:hAnsi="Calibri"/>
          <w:color w:val="000000"/>
          <w:sz w:val="22"/>
          <w:szCs w:val="22"/>
        </w:rPr>
      </w:pPr>
      <w:r>
        <w:rPr>
          <w:rFonts w:ascii="Calibri" w:hAnsi="Calibri"/>
          <w:color w:val="000000"/>
          <w:sz w:val="22"/>
          <w:szCs w:val="22"/>
        </w:rPr>
        <w:t>L’EIT se concrétise par la mise en commun volontaire de ressources par des acteurs d’un territoire, en vue de les économiser ou d’en améliorer la productivité : partage de matières, d’infrastructures, d’équipements, de services, etc. En proposant des solutions territoriales, coopératives et innovantes de gestion des ressources, l’écologie industrielle et territoriale transforme les systèmes de production et de consommation en favorisant les fonctionnements en quasi-boucles fermées. Elle s’inscrit dans la démarche « réduire, réutiliser et recycler » de l’économie circulaire. L’EIT présente de nombreux bénéfices, à la fois pour les entreprises et les collectivités du territoire :</w:t>
      </w:r>
    </w:p>
    <w:p w14:paraId="04F54B92" w14:textId="77777777" w:rsidR="0004462C" w:rsidRDefault="0004462C">
      <w:pPr>
        <w:pStyle w:val="Standard"/>
        <w:jc w:val="both"/>
        <w:rPr>
          <w:rFonts w:ascii="Calibri" w:hAnsi="Calibri"/>
          <w:color w:val="000000"/>
          <w:sz w:val="22"/>
          <w:szCs w:val="22"/>
        </w:rPr>
      </w:pPr>
    </w:p>
    <w:p w14:paraId="04F54B93" w14:textId="77777777" w:rsidR="0004462C" w:rsidRDefault="00081831">
      <w:pPr>
        <w:pStyle w:val="Standard"/>
        <w:numPr>
          <w:ilvl w:val="0"/>
          <w:numId w:val="3"/>
        </w:numPr>
        <w:jc w:val="both"/>
        <w:rPr>
          <w:rFonts w:ascii="Calibri" w:hAnsi="Calibri"/>
          <w:color w:val="000000"/>
          <w:sz w:val="22"/>
          <w:szCs w:val="22"/>
        </w:rPr>
      </w:pPr>
      <w:r>
        <w:rPr>
          <w:rFonts w:ascii="Calibri" w:hAnsi="Calibri"/>
          <w:color w:val="000000"/>
          <w:sz w:val="22"/>
          <w:szCs w:val="22"/>
        </w:rPr>
        <w:t>Réduction des impacts environnementaux et de la consommation de ressources ;</w:t>
      </w:r>
    </w:p>
    <w:p w14:paraId="04F54B94" w14:textId="77777777" w:rsidR="0004462C" w:rsidRDefault="00081831">
      <w:pPr>
        <w:pStyle w:val="Standard"/>
        <w:numPr>
          <w:ilvl w:val="0"/>
          <w:numId w:val="3"/>
        </w:numPr>
        <w:jc w:val="both"/>
        <w:rPr>
          <w:rFonts w:ascii="Calibri" w:hAnsi="Calibri"/>
          <w:color w:val="000000"/>
          <w:sz w:val="22"/>
          <w:szCs w:val="22"/>
        </w:rPr>
      </w:pPr>
      <w:r>
        <w:rPr>
          <w:rFonts w:ascii="Calibri" w:hAnsi="Calibri"/>
          <w:color w:val="000000"/>
          <w:sz w:val="22"/>
          <w:szCs w:val="22"/>
        </w:rPr>
        <w:t>Gains de performance économique : économies d’échelle (achats groupés, collecte de déchets mutualisée…), réduction des coûts de transport, des utilités et de gestion des déchets, nouvelles sources de revenus (vente de sous-produits), compétitivité et innovation, création d’activités, de filières et de services, amélioration de l’image de l’entreprise ;</w:t>
      </w:r>
    </w:p>
    <w:p w14:paraId="04F54B95" w14:textId="77777777" w:rsidR="0004462C" w:rsidRDefault="00081831">
      <w:pPr>
        <w:pStyle w:val="Standard"/>
        <w:numPr>
          <w:ilvl w:val="0"/>
          <w:numId w:val="3"/>
        </w:numPr>
        <w:jc w:val="both"/>
        <w:rPr>
          <w:rFonts w:ascii="Calibri" w:hAnsi="Calibri"/>
          <w:color w:val="000000"/>
          <w:sz w:val="22"/>
          <w:szCs w:val="22"/>
        </w:rPr>
      </w:pPr>
      <w:r>
        <w:rPr>
          <w:rFonts w:ascii="Calibri" w:hAnsi="Calibri"/>
          <w:color w:val="000000"/>
          <w:sz w:val="22"/>
          <w:szCs w:val="22"/>
        </w:rPr>
        <w:t>Renforcement de l’ancrage territorial : valorisation des ressources locales, développement de l’attractivité du territoire (offre de services/complémentarités), création et consolidation d’emplois locaux, mise en place de nouvelles collaborations et coopérations locales.</w:t>
      </w:r>
    </w:p>
    <w:p w14:paraId="04F54B96" w14:textId="77777777" w:rsidR="0004462C" w:rsidRDefault="0004462C">
      <w:pPr>
        <w:pStyle w:val="Standard"/>
        <w:jc w:val="both"/>
        <w:rPr>
          <w:rFonts w:ascii="Calibri" w:hAnsi="Calibri"/>
          <w:color w:val="000000"/>
          <w:sz w:val="22"/>
          <w:szCs w:val="22"/>
        </w:rPr>
      </w:pPr>
    </w:p>
    <w:p w14:paraId="04F54B97" w14:textId="77777777" w:rsidR="0004462C" w:rsidRDefault="00081831">
      <w:pPr>
        <w:pStyle w:val="Standard"/>
        <w:jc w:val="both"/>
        <w:rPr>
          <w:rFonts w:hint="eastAsia"/>
        </w:rPr>
      </w:pPr>
      <w:r>
        <w:rPr>
          <w:rFonts w:ascii="Calibri" w:hAnsi="Calibri"/>
          <w:color w:val="000000"/>
          <w:sz w:val="22"/>
          <w:szCs w:val="22"/>
        </w:rPr>
        <w:t>Il existe un référentiel d’évaluation des performances des démarches d’Écologie industrielle et territoriale (http://www.referentiel-elipse-eit.org/) et un réseau national qui centralise l’offre autour de l’EIT (information ciblée, outils, méthodes, etc.) et met en avant les initiatives françaises (</w:t>
      </w:r>
      <w:hyperlink r:id="rId23" w:history="1">
        <w:r>
          <w:rPr>
            <w:rStyle w:val="Lienhypertexte"/>
            <w:rFonts w:ascii="Calibri" w:hAnsi="Calibri"/>
            <w:sz w:val="22"/>
            <w:szCs w:val="22"/>
          </w:rPr>
          <w:t>https://www.reseau-synapse.org</w:t>
        </w:r>
      </w:hyperlink>
      <w:r>
        <w:rPr>
          <w:rFonts w:ascii="Calibri" w:hAnsi="Calibri"/>
          <w:color w:val="000000"/>
          <w:sz w:val="22"/>
          <w:szCs w:val="22"/>
        </w:rPr>
        <w:t>).</w:t>
      </w:r>
    </w:p>
    <w:p w14:paraId="04F54B98" w14:textId="4D2C0D0B" w:rsidR="0004462C" w:rsidRDefault="0004462C">
      <w:pPr>
        <w:pStyle w:val="Standard"/>
        <w:jc w:val="both"/>
        <w:rPr>
          <w:rFonts w:ascii="Calibri" w:hAnsi="Calibri"/>
          <w:color w:val="000000"/>
          <w:sz w:val="22"/>
          <w:szCs w:val="22"/>
        </w:rPr>
      </w:pPr>
    </w:p>
    <w:p w14:paraId="2DFD3A43" w14:textId="77777777" w:rsidR="00FD465F" w:rsidRDefault="00FD465F">
      <w:pPr>
        <w:pStyle w:val="Standard"/>
        <w:jc w:val="both"/>
        <w:rPr>
          <w:rFonts w:ascii="Calibri" w:hAnsi="Calibri"/>
          <w:color w:val="000000"/>
          <w:sz w:val="22"/>
          <w:szCs w:val="22"/>
        </w:rPr>
      </w:pPr>
    </w:p>
    <w:p w14:paraId="04F54B99" w14:textId="77777777" w:rsidR="0004462C" w:rsidRDefault="00081831">
      <w:pPr>
        <w:pStyle w:val="Standard"/>
        <w:jc w:val="both"/>
        <w:rPr>
          <w:rFonts w:hint="eastAsia"/>
        </w:rPr>
      </w:pPr>
      <w:r>
        <w:rPr>
          <w:rFonts w:ascii="Calibri" w:hAnsi="Calibri"/>
          <w:noProof/>
          <w:color w:val="000000"/>
          <w:sz w:val="22"/>
          <w:szCs w:val="22"/>
        </w:rPr>
        <w:drawing>
          <wp:anchor distT="0" distB="0" distL="114300" distR="114300" simplePos="0" relativeHeight="251657728" behindDoc="1" locked="0" layoutInCell="1" allowOverlap="1" wp14:anchorId="04F54B7E" wp14:editId="356DBF26">
            <wp:simplePos x="0" y="0"/>
            <wp:positionH relativeFrom="margin">
              <wp:posOffset>-93369</wp:posOffset>
            </wp:positionH>
            <wp:positionV relativeFrom="paragraph">
              <wp:posOffset>84165</wp:posOffset>
            </wp:positionV>
            <wp:extent cx="6295269" cy="391851"/>
            <wp:effectExtent l="19050" t="19050" r="10795" b="27305"/>
            <wp:wrapNone/>
            <wp:docPr id="10" name="Forme1_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lum/>
                      <a:alphaModFix/>
                    </a:blip>
                    <a:srcRect/>
                    <a:stretch>
                      <a:fillRect/>
                    </a:stretch>
                  </pic:blipFill>
                  <pic:spPr>
                    <a:xfrm>
                      <a:off x="0" y="0"/>
                      <a:ext cx="6338154" cy="394520"/>
                    </a:xfrm>
                    <a:prstGeom prst="rect">
                      <a:avLst/>
                    </a:prstGeom>
                    <a:noFill/>
                    <a:ln w="0">
                      <a:solidFill>
                        <a:srgbClr val="000000"/>
                      </a:solidFill>
                      <a:prstDash val="solid"/>
                    </a:ln>
                  </pic:spPr>
                </pic:pic>
              </a:graphicData>
            </a:graphic>
            <wp14:sizeRelV relativeFrom="margin">
              <wp14:pctHeight>0</wp14:pctHeight>
            </wp14:sizeRelV>
          </wp:anchor>
        </w:drawing>
      </w:r>
    </w:p>
    <w:p w14:paraId="04F54B9A" w14:textId="77777777" w:rsidR="0004462C" w:rsidRDefault="00081831">
      <w:pPr>
        <w:pStyle w:val="Standard"/>
        <w:jc w:val="both"/>
        <w:rPr>
          <w:rFonts w:ascii="Calibri" w:hAnsi="Calibri"/>
          <w:b/>
          <w:bCs/>
          <w:color w:val="FFFFFF"/>
        </w:rPr>
      </w:pPr>
      <w:r>
        <w:rPr>
          <w:rFonts w:ascii="Calibri" w:hAnsi="Calibri"/>
          <w:b/>
          <w:bCs/>
          <w:color w:val="FFFFFF"/>
        </w:rPr>
        <w:t>Quels sont les objectifs de l’Appel à manifestation d’intérêt ?</w:t>
      </w:r>
    </w:p>
    <w:p w14:paraId="04F54B9B" w14:textId="77777777" w:rsidR="0004462C" w:rsidRDefault="0004462C">
      <w:pPr>
        <w:pStyle w:val="Standard"/>
        <w:jc w:val="both"/>
        <w:rPr>
          <w:rFonts w:ascii="Calibri" w:hAnsi="Calibri"/>
          <w:color w:val="FFFFFF"/>
        </w:rPr>
      </w:pPr>
    </w:p>
    <w:p w14:paraId="27F1ECCF" w14:textId="77777777" w:rsidR="00FD465F" w:rsidRDefault="00FD465F">
      <w:pPr>
        <w:pStyle w:val="Standard"/>
        <w:jc w:val="both"/>
        <w:rPr>
          <w:rFonts w:ascii="Calibri" w:hAnsi="Calibri"/>
          <w:color w:val="000000"/>
          <w:sz w:val="22"/>
          <w:szCs w:val="22"/>
        </w:rPr>
      </w:pPr>
    </w:p>
    <w:p w14:paraId="04F54B9C" w14:textId="4E4AD59E" w:rsidR="0004462C" w:rsidRDefault="00081831">
      <w:pPr>
        <w:pStyle w:val="Standard"/>
        <w:jc w:val="both"/>
        <w:rPr>
          <w:rFonts w:hint="eastAsia"/>
        </w:rPr>
      </w:pPr>
      <w:r>
        <w:rPr>
          <w:rFonts w:ascii="Calibri" w:hAnsi="Calibri"/>
          <w:color w:val="000000"/>
          <w:sz w:val="22"/>
          <w:szCs w:val="22"/>
        </w:rPr>
        <w:t>Cet AMI vise à favoriser en Île-de-France l’émergence et le développement des projets d’écologie industrielle et territoriale, collaboratifs et structurants à l’échelle des territoires et des filières.</w:t>
      </w:r>
    </w:p>
    <w:p w14:paraId="04F54B9D" w14:textId="77777777" w:rsidR="0004462C" w:rsidRDefault="00081831">
      <w:pPr>
        <w:pStyle w:val="Standard"/>
        <w:jc w:val="both"/>
        <w:rPr>
          <w:rFonts w:ascii="Calibri" w:hAnsi="Calibri"/>
          <w:color w:val="000000"/>
          <w:sz w:val="22"/>
          <w:szCs w:val="22"/>
        </w:rPr>
      </w:pPr>
      <w:r>
        <w:rPr>
          <w:rFonts w:ascii="Calibri" w:hAnsi="Calibri"/>
          <w:color w:val="000000"/>
          <w:sz w:val="22"/>
          <w:szCs w:val="22"/>
        </w:rPr>
        <w:t>Il s’agit de dynamiques collaboratives dont l’objectif est d’aboutir à des actions concrètes, partagées et multi-acteurs. Ces démarches ciblent :</w:t>
      </w:r>
    </w:p>
    <w:p w14:paraId="04F54B9E" w14:textId="77777777" w:rsidR="0004462C" w:rsidRDefault="0004462C">
      <w:pPr>
        <w:pStyle w:val="Standard"/>
        <w:jc w:val="both"/>
        <w:rPr>
          <w:rFonts w:ascii="Calibri" w:hAnsi="Calibri"/>
          <w:color w:val="000000"/>
          <w:sz w:val="22"/>
          <w:szCs w:val="22"/>
        </w:rPr>
      </w:pPr>
    </w:p>
    <w:p w14:paraId="04F54B9F" w14:textId="77777777" w:rsidR="0004462C" w:rsidRDefault="00081831">
      <w:pPr>
        <w:pStyle w:val="Standard"/>
        <w:numPr>
          <w:ilvl w:val="0"/>
          <w:numId w:val="4"/>
        </w:numPr>
        <w:jc w:val="both"/>
        <w:rPr>
          <w:rFonts w:ascii="Calibri" w:hAnsi="Calibri"/>
          <w:color w:val="000000"/>
          <w:sz w:val="22"/>
          <w:szCs w:val="22"/>
        </w:rPr>
      </w:pPr>
      <w:r>
        <w:rPr>
          <w:rFonts w:ascii="Calibri" w:hAnsi="Calibri"/>
          <w:color w:val="000000"/>
          <w:sz w:val="22"/>
          <w:szCs w:val="22"/>
        </w:rPr>
        <w:t>L’échange de flux : valoriser les externalités émises par certaines entreprises par d’autres entités voisines. Exemples : déchets/matières, eaux industrielles usagées, chaleur, co-produits, etc.</w:t>
      </w:r>
    </w:p>
    <w:p w14:paraId="04F54BA0" w14:textId="77777777" w:rsidR="0004462C" w:rsidRDefault="00081831">
      <w:pPr>
        <w:pStyle w:val="Standard"/>
        <w:numPr>
          <w:ilvl w:val="0"/>
          <w:numId w:val="4"/>
        </w:numPr>
        <w:jc w:val="both"/>
        <w:rPr>
          <w:rFonts w:ascii="Calibri" w:hAnsi="Calibri"/>
          <w:color w:val="000000"/>
          <w:sz w:val="22"/>
          <w:szCs w:val="22"/>
        </w:rPr>
      </w:pPr>
      <w:r>
        <w:rPr>
          <w:rFonts w:ascii="Calibri" w:hAnsi="Calibri"/>
          <w:color w:val="000000"/>
          <w:sz w:val="22"/>
          <w:szCs w:val="22"/>
        </w:rPr>
        <w:t>La création de nouvelles activités : les échanges de flux peuvent nécessiter la présence d’activités d’interface pour permettre la valorisation des sous-produits, le développement de produits ou de services, la gestion d’une ressource commune, etc.</w:t>
      </w:r>
    </w:p>
    <w:p w14:paraId="04F54BA1" w14:textId="77777777" w:rsidR="0004462C" w:rsidRDefault="00081831">
      <w:pPr>
        <w:pStyle w:val="Standard"/>
        <w:numPr>
          <w:ilvl w:val="0"/>
          <w:numId w:val="4"/>
        </w:numPr>
        <w:jc w:val="both"/>
        <w:rPr>
          <w:rFonts w:ascii="Calibri" w:hAnsi="Calibri"/>
          <w:color w:val="000000"/>
          <w:sz w:val="22"/>
          <w:szCs w:val="22"/>
        </w:rPr>
      </w:pPr>
      <w:r>
        <w:rPr>
          <w:rFonts w:ascii="Calibri" w:hAnsi="Calibri"/>
          <w:color w:val="000000"/>
          <w:sz w:val="22"/>
          <w:szCs w:val="22"/>
        </w:rPr>
        <w:t>Le partage et la mutualisation : mutualiser des biens, des ressources ou des services dans l’objectif de réaliser des économies d’échelle significatives et diminuer certains impacts environnementaux (Exemples : approches systémiques susceptibles de combiner des objectifs de gestion collective de déchets/matières, de réutilisation des eaux pluviales, de restauration collective, de gestion intégrée des espaces verts, de plans de déplacement inter-entreprises, de partage de véhicules, etc.).</w:t>
      </w:r>
    </w:p>
    <w:p w14:paraId="04F54BA2" w14:textId="77777777" w:rsidR="0004462C" w:rsidRDefault="0004462C">
      <w:pPr>
        <w:pStyle w:val="Standard"/>
        <w:rPr>
          <w:rFonts w:ascii="Calibri" w:hAnsi="Calibri"/>
          <w:b/>
          <w:bCs/>
          <w:color w:val="000000"/>
          <w:sz w:val="22"/>
          <w:szCs w:val="22"/>
        </w:rPr>
      </w:pPr>
    </w:p>
    <w:p w14:paraId="04F54BA3" w14:textId="77777777" w:rsidR="0004462C" w:rsidRDefault="00081831">
      <w:pPr>
        <w:pStyle w:val="Standard"/>
        <w:jc w:val="both"/>
        <w:rPr>
          <w:rFonts w:ascii="Calibri" w:hAnsi="Calibri"/>
          <w:sz w:val="22"/>
          <w:szCs w:val="22"/>
        </w:rPr>
      </w:pPr>
      <w:r>
        <w:rPr>
          <w:rFonts w:ascii="Calibri" w:hAnsi="Calibri"/>
          <w:sz w:val="22"/>
          <w:szCs w:val="22"/>
        </w:rPr>
        <w:t>Il est souhaité que les projets abordent la gestion, le partage et la mutualisation des flux de matières. Par « matière » on entend : matériaux inertes du BTP, différentes catégories de bois, plastiques, verre, papier, cartons, textiles, métaux et terres rares, plâtre, biomasse, mobiliers, équipements électrique et électroniques…</w:t>
      </w:r>
    </w:p>
    <w:p w14:paraId="04F54BA4" w14:textId="77777777" w:rsidR="0004462C" w:rsidRDefault="0004462C">
      <w:pPr>
        <w:pStyle w:val="Standard"/>
        <w:jc w:val="both"/>
        <w:rPr>
          <w:rFonts w:ascii="Calibri" w:hAnsi="Calibri"/>
          <w:b/>
          <w:bCs/>
          <w:color w:val="000000"/>
          <w:sz w:val="22"/>
          <w:szCs w:val="22"/>
        </w:rPr>
      </w:pPr>
    </w:p>
    <w:p w14:paraId="3B0F04F2" w14:textId="77777777" w:rsidR="00FD465F" w:rsidRDefault="00FD465F">
      <w:pPr>
        <w:suppressAutoHyphens w:val="0"/>
        <w:rPr>
          <w:rFonts w:hint="eastAsia"/>
        </w:rPr>
      </w:pPr>
      <w:r>
        <w:rPr>
          <w:rFonts w:hint="eastAsia"/>
        </w:rPr>
        <w:br w:type="page"/>
      </w:r>
    </w:p>
    <w:p w14:paraId="04F54BAD" w14:textId="4EF57ED1" w:rsidR="0004462C" w:rsidRDefault="00081831">
      <w:pPr>
        <w:pStyle w:val="Standard"/>
        <w:jc w:val="both"/>
        <w:rPr>
          <w:rFonts w:hint="eastAsia"/>
        </w:rPr>
      </w:pPr>
      <w:r>
        <w:rPr>
          <w:rFonts w:ascii="Calibri" w:hAnsi="Calibri"/>
          <w:noProof/>
          <w:color w:val="000000"/>
          <w:sz w:val="21"/>
          <w:szCs w:val="21"/>
        </w:rPr>
        <w:lastRenderedPageBreak/>
        <w:drawing>
          <wp:anchor distT="0" distB="0" distL="114300" distR="114300" simplePos="0" relativeHeight="251660800" behindDoc="1" locked="0" layoutInCell="1" allowOverlap="1" wp14:anchorId="04F54B80" wp14:editId="05291BF1">
            <wp:simplePos x="0" y="0"/>
            <wp:positionH relativeFrom="margin">
              <wp:posOffset>-71120</wp:posOffset>
            </wp:positionH>
            <wp:positionV relativeFrom="paragraph">
              <wp:posOffset>56587</wp:posOffset>
            </wp:positionV>
            <wp:extent cx="6167852" cy="403426"/>
            <wp:effectExtent l="19050" t="19050" r="23495" b="15875"/>
            <wp:wrapNone/>
            <wp:docPr id="11" name="Forme1_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lum/>
                      <a:alphaModFix/>
                    </a:blip>
                    <a:srcRect/>
                    <a:stretch>
                      <a:fillRect/>
                    </a:stretch>
                  </pic:blipFill>
                  <pic:spPr>
                    <a:xfrm>
                      <a:off x="0" y="0"/>
                      <a:ext cx="6167852" cy="403426"/>
                    </a:xfrm>
                    <a:prstGeom prst="rect">
                      <a:avLst/>
                    </a:prstGeom>
                    <a:noFill/>
                    <a:ln w="0">
                      <a:solidFill>
                        <a:srgbClr val="000000"/>
                      </a:solidFill>
                      <a:prstDash val="solid"/>
                    </a:ln>
                  </pic:spPr>
                </pic:pic>
              </a:graphicData>
            </a:graphic>
            <wp14:sizeRelH relativeFrom="margin">
              <wp14:pctWidth>0</wp14:pctWidth>
            </wp14:sizeRelH>
            <wp14:sizeRelV relativeFrom="margin">
              <wp14:pctHeight>0</wp14:pctHeight>
            </wp14:sizeRelV>
          </wp:anchor>
        </w:drawing>
      </w:r>
    </w:p>
    <w:p w14:paraId="04F54BAE" w14:textId="77777777" w:rsidR="0004462C" w:rsidRDefault="00081831">
      <w:pPr>
        <w:pStyle w:val="Standard"/>
        <w:jc w:val="both"/>
        <w:rPr>
          <w:rFonts w:hint="eastAsia"/>
        </w:rPr>
      </w:pPr>
      <w:r>
        <w:rPr>
          <w:rFonts w:ascii="Calibri" w:hAnsi="Calibri"/>
          <w:b/>
          <w:bCs/>
          <w:color w:val="FFFFFF"/>
        </w:rPr>
        <w:t>Quels sont les accompagnements proposés ?</w:t>
      </w:r>
    </w:p>
    <w:p w14:paraId="04F54BAF" w14:textId="77777777" w:rsidR="0004462C" w:rsidRDefault="0004462C">
      <w:pPr>
        <w:pStyle w:val="Standard"/>
        <w:rPr>
          <w:rFonts w:ascii="Calibri" w:hAnsi="Calibri"/>
          <w:b/>
          <w:bCs/>
          <w:color w:val="000000"/>
          <w:sz w:val="22"/>
          <w:szCs w:val="22"/>
        </w:rPr>
      </w:pPr>
    </w:p>
    <w:p w14:paraId="04F54BB0" w14:textId="77777777" w:rsidR="0004462C" w:rsidRPr="00FD465F" w:rsidRDefault="00081831" w:rsidP="00FD465F">
      <w:pPr>
        <w:pStyle w:val="Standard"/>
        <w:spacing w:before="120"/>
        <w:rPr>
          <w:rFonts w:hint="eastAsia"/>
          <w:u w:val="single"/>
        </w:rPr>
      </w:pPr>
      <w:r w:rsidRPr="00FD465F">
        <w:rPr>
          <w:rFonts w:ascii="Calibri" w:hAnsi="Calibri"/>
          <w:b/>
          <w:bCs/>
          <w:sz w:val="22"/>
          <w:szCs w:val="22"/>
          <w:u w:val="single"/>
        </w:rPr>
        <w:t>Accompagnement technique</w:t>
      </w:r>
    </w:p>
    <w:p w14:paraId="04F54BB1" w14:textId="77777777" w:rsidR="0004462C" w:rsidRDefault="0004462C">
      <w:pPr>
        <w:pStyle w:val="Standard"/>
        <w:rPr>
          <w:rFonts w:ascii="Calibri" w:hAnsi="Calibri"/>
          <w:color w:val="000000"/>
          <w:sz w:val="22"/>
          <w:szCs w:val="22"/>
        </w:rPr>
      </w:pPr>
    </w:p>
    <w:p w14:paraId="04F54BB2" w14:textId="77777777" w:rsidR="0004462C" w:rsidRDefault="00081831">
      <w:pPr>
        <w:pStyle w:val="Standard"/>
        <w:jc w:val="both"/>
        <w:rPr>
          <w:rFonts w:ascii="Calibri" w:hAnsi="Calibri"/>
          <w:color w:val="000000"/>
          <w:sz w:val="22"/>
          <w:szCs w:val="22"/>
        </w:rPr>
      </w:pPr>
      <w:r>
        <w:rPr>
          <w:rFonts w:ascii="Calibri" w:hAnsi="Calibri"/>
          <w:color w:val="000000"/>
          <w:sz w:val="22"/>
          <w:szCs w:val="22"/>
        </w:rPr>
        <w:t>Les lauréats de l’AMI bénéficieront, dans une première phase de 2 formes d’accompagnement technique, qui tiennent compte des spécificités territoriales, du contenu technique des démarches présentées et de leur niveau de maturité. En fonction de leur niveau de maturité et de leurs connaissances sur l’EIT, les lauréats s’engagent à suivre cet accompagnement leur permettant de structurer leur projet, d’optimiser leurs conditions de réussite et de favoriser leur réalisation opérationnelle.</w:t>
      </w:r>
    </w:p>
    <w:p w14:paraId="04F54BB3" w14:textId="77777777" w:rsidR="0004462C" w:rsidRDefault="0004462C">
      <w:pPr>
        <w:pStyle w:val="Standard"/>
        <w:rPr>
          <w:rFonts w:ascii="Calibri" w:hAnsi="Calibri"/>
          <w:color w:val="000000"/>
          <w:sz w:val="22"/>
          <w:szCs w:val="22"/>
        </w:rPr>
      </w:pPr>
    </w:p>
    <w:p w14:paraId="7599E11B" w14:textId="77777777" w:rsidR="004B44F4" w:rsidRDefault="00081831" w:rsidP="004B44F4">
      <w:pPr>
        <w:pStyle w:val="Standard"/>
        <w:numPr>
          <w:ilvl w:val="0"/>
          <w:numId w:val="12"/>
        </w:numPr>
        <w:ind w:left="709"/>
        <w:jc w:val="both"/>
        <w:rPr>
          <w:rFonts w:ascii="Calibri" w:hAnsi="Calibri"/>
          <w:color w:val="000000"/>
          <w:sz w:val="22"/>
          <w:szCs w:val="22"/>
        </w:rPr>
      </w:pPr>
      <w:r>
        <w:rPr>
          <w:rFonts w:ascii="Calibri" w:hAnsi="Calibri"/>
          <w:color w:val="000000"/>
          <w:sz w:val="22"/>
          <w:szCs w:val="22"/>
        </w:rPr>
        <w:t>Accompagnement collectif : mise en réseau, accès à des programmes de sensibilisation et cycles de formation (introductifs ou adaptés à des acteurs plus matures) ;</w:t>
      </w:r>
    </w:p>
    <w:p w14:paraId="04F54BB5" w14:textId="68B7FE0B" w:rsidR="0004462C" w:rsidRPr="004B44F4" w:rsidRDefault="00081831" w:rsidP="004B44F4">
      <w:pPr>
        <w:pStyle w:val="Standard"/>
        <w:numPr>
          <w:ilvl w:val="0"/>
          <w:numId w:val="12"/>
        </w:numPr>
        <w:ind w:left="709"/>
        <w:jc w:val="both"/>
        <w:rPr>
          <w:rFonts w:ascii="Calibri" w:hAnsi="Calibri"/>
          <w:color w:val="000000"/>
          <w:sz w:val="22"/>
          <w:szCs w:val="22"/>
        </w:rPr>
      </w:pPr>
      <w:r w:rsidRPr="004B44F4">
        <w:rPr>
          <w:rFonts w:ascii="Calibri" w:hAnsi="Calibri"/>
          <w:color w:val="000000"/>
          <w:sz w:val="22"/>
          <w:szCs w:val="22"/>
        </w:rPr>
        <w:t>Accompagnement individuel « à la demande », avec le soutien de compétences techniques et/ou juridiques.</w:t>
      </w:r>
    </w:p>
    <w:p w14:paraId="04F54BB6" w14:textId="77777777" w:rsidR="0004462C" w:rsidRDefault="0004462C">
      <w:pPr>
        <w:pStyle w:val="Standard"/>
        <w:jc w:val="both"/>
        <w:rPr>
          <w:rFonts w:ascii="Calibri" w:hAnsi="Calibri"/>
          <w:color w:val="000000"/>
          <w:sz w:val="22"/>
          <w:szCs w:val="22"/>
        </w:rPr>
      </w:pPr>
    </w:p>
    <w:p w14:paraId="04F54BB7" w14:textId="77777777" w:rsidR="0004462C" w:rsidRPr="004B44F4" w:rsidRDefault="00081831">
      <w:pPr>
        <w:pStyle w:val="Standard"/>
        <w:jc w:val="both"/>
        <w:rPr>
          <w:rFonts w:ascii="Calibri" w:hAnsi="Calibri"/>
          <w:sz w:val="22"/>
          <w:szCs w:val="22"/>
        </w:rPr>
      </w:pPr>
      <w:r w:rsidRPr="004B44F4">
        <w:rPr>
          <w:rFonts w:ascii="Calibri" w:hAnsi="Calibri"/>
          <w:sz w:val="22"/>
          <w:szCs w:val="22"/>
        </w:rPr>
        <w:t xml:space="preserve">Cette première phase d’accompagnement « technique » des lauréats vise à : </w:t>
      </w:r>
    </w:p>
    <w:p w14:paraId="04F54BB8" w14:textId="77777777" w:rsidR="0004462C" w:rsidRPr="004B44F4" w:rsidRDefault="00081831" w:rsidP="004B44F4">
      <w:pPr>
        <w:pStyle w:val="Standard"/>
        <w:numPr>
          <w:ilvl w:val="0"/>
          <w:numId w:val="13"/>
        </w:numPr>
        <w:jc w:val="both"/>
        <w:rPr>
          <w:rFonts w:ascii="Calibri" w:hAnsi="Calibri"/>
          <w:sz w:val="22"/>
          <w:szCs w:val="22"/>
        </w:rPr>
      </w:pPr>
      <w:r w:rsidRPr="004B44F4">
        <w:rPr>
          <w:rFonts w:ascii="Calibri" w:hAnsi="Calibri"/>
          <w:sz w:val="22"/>
          <w:szCs w:val="22"/>
        </w:rPr>
        <w:t>Accompagner les porteurs de projet dans la structuration de démarches émergentes. Un accompagnement personnalisé par un cabinet expert en écologie industrielle et territoriale sera proposé aux porteurs pour approfondir, développer et/ou finaliser leur projet et les mettre en relation si besoin avec d’autres acteurs.</w:t>
      </w:r>
    </w:p>
    <w:p w14:paraId="04F54BB9" w14:textId="77777777" w:rsidR="0004462C" w:rsidRPr="004B44F4" w:rsidRDefault="00081831" w:rsidP="004B44F4">
      <w:pPr>
        <w:pStyle w:val="Standard"/>
        <w:numPr>
          <w:ilvl w:val="0"/>
          <w:numId w:val="13"/>
        </w:numPr>
        <w:jc w:val="both"/>
        <w:rPr>
          <w:rFonts w:ascii="Calibri" w:hAnsi="Calibri"/>
          <w:sz w:val="22"/>
          <w:szCs w:val="22"/>
        </w:rPr>
      </w:pPr>
      <w:r w:rsidRPr="004B44F4">
        <w:rPr>
          <w:rFonts w:ascii="Calibri" w:hAnsi="Calibri"/>
          <w:sz w:val="22"/>
          <w:szCs w:val="22"/>
        </w:rPr>
        <w:t>Former les porteurs de projets, de les outiller et de les aider à structurer leur projet dans un objectif, à terme, de mise en œuvre de leurs démarches d’écologie industrielle et territoriale, afin de concrétiser les synergies de mutualisation et/ou de substitution entre acteurs d’un territoire</w:t>
      </w:r>
    </w:p>
    <w:p w14:paraId="04F54BBA" w14:textId="77777777" w:rsidR="0004462C" w:rsidRPr="004B44F4" w:rsidRDefault="00081831" w:rsidP="004B44F4">
      <w:pPr>
        <w:pStyle w:val="Standard"/>
        <w:numPr>
          <w:ilvl w:val="0"/>
          <w:numId w:val="13"/>
        </w:numPr>
        <w:jc w:val="both"/>
        <w:rPr>
          <w:rFonts w:ascii="Calibri" w:hAnsi="Calibri"/>
          <w:sz w:val="22"/>
          <w:szCs w:val="22"/>
        </w:rPr>
      </w:pPr>
      <w:r w:rsidRPr="004B44F4">
        <w:rPr>
          <w:rFonts w:ascii="Calibri" w:hAnsi="Calibri"/>
          <w:sz w:val="22"/>
          <w:szCs w:val="22"/>
        </w:rPr>
        <w:t>Soutenir la pérennisation des démarches d’écologie industrielle et territoriale déjà engagées sur le territoire et leur déploiement sur d’autres territoires (reproductibilité).</w:t>
      </w:r>
    </w:p>
    <w:p w14:paraId="7A2A0C50" w14:textId="77777777" w:rsidR="004B44F4" w:rsidRDefault="004B44F4">
      <w:pPr>
        <w:pStyle w:val="Standard"/>
        <w:jc w:val="both"/>
        <w:rPr>
          <w:rFonts w:ascii="Calibri" w:hAnsi="Calibri"/>
          <w:sz w:val="22"/>
          <w:szCs w:val="22"/>
        </w:rPr>
      </w:pPr>
    </w:p>
    <w:p w14:paraId="04F54BBB" w14:textId="10251883" w:rsidR="0004462C" w:rsidRDefault="00081831">
      <w:pPr>
        <w:pStyle w:val="Standard"/>
        <w:jc w:val="both"/>
        <w:rPr>
          <w:rFonts w:ascii="Calibri" w:hAnsi="Calibri"/>
          <w:sz w:val="22"/>
          <w:szCs w:val="22"/>
        </w:rPr>
      </w:pPr>
      <w:r>
        <w:rPr>
          <w:rFonts w:ascii="Calibri" w:hAnsi="Calibri"/>
          <w:sz w:val="22"/>
          <w:szCs w:val="22"/>
        </w:rPr>
        <w:t>Elle inclut des formations, la mise à disposition d’outils et de méthodologie, en particulier dans la détection de synergies, la mise en réseau, le partage de bonnes pratiques et, le cas échéant, des visites collectives de sites bénéficiant d’un retour d’expérience réussi en termes de démarches d’EIT.</w:t>
      </w:r>
    </w:p>
    <w:p w14:paraId="04F54BBD" w14:textId="77777777" w:rsidR="0004462C" w:rsidRDefault="00081831">
      <w:pPr>
        <w:pStyle w:val="Standard"/>
        <w:jc w:val="both"/>
        <w:rPr>
          <w:rFonts w:ascii="Calibri" w:hAnsi="Calibri"/>
          <w:sz w:val="22"/>
          <w:szCs w:val="22"/>
        </w:rPr>
      </w:pPr>
      <w:r>
        <w:rPr>
          <w:rFonts w:ascii="Calibri" w:hAnsi="Calibri"/>
          <w:sz w:val="22"/>
          <w:szCs w:val="22"/>
        </w:rPr>
        <w:t xml:space="preserve">      </w:t>
      </w:r>
    </w:p>
    <w:p w14:paraId="04F54BBE" w14:textId="0EBABC8F" w:rsidR="0004462C" w:rsidRPr="00FD465F" w:rsidRDefault="00081831">
      <w:pPr>
        <w:pStyle w:val="Standard"/>
        <w:rPr>
          <w:rFonts w:ascii="Calibri" w:hAnsi="Calibri"/>
          <w:b/>
          <w:bCs/>
          <w:sz w:val="22"/>
          <w:szCs w:val="22"/>
          <w:u w:val="single"/>
        </w:rPr>
      </w:pPr>
      <w:r w:rsidRPr="00FD465F">
        <w:rPr>
          <w:rFonts w:ascii="Calibri" w:hAnsi="Calibri"/>
          <w:b/>
          <w:bCs/>
          <w:sz w:val="22"/>
          <w:szCs w:val="22"/>
          <w:u w:val="single"/>
        </w:rPr>
        <w:t>Accompagnement financier</w:t>
      </w:r>
    </w:p>
    <w:p w14:paraId="04F54BBF" w14:textId="77777777" w:rsidR="0004462C" w:rsidRDefault="0004462C">
      <w:pPr>
        <w:pStyle w:val="Standard"/>
        <w:rPr>
          <w:rFonts w:ascii="Calibri" w:hAnsi="Calibri"/>
          <w:b/>
          <w:bCs/>
          <w:sz w:val="22"/>
          <w:szCs w:val="22"/>
        </w:rPr>
      </w:pPr>
    </w:p>
    <w:p w14:paraId="04F54BC0" w14:textId="77777777" w:rsidR="0004462C" w:rsidRDefault="00081831">
      <w:pPr>
        <w:pStyle w:val="Standard"/>
        <w:jc w:val="both"/>
        <w:rPr>
          <w:rFonts w:ascii="Calibri" w:hAnsi="Calibri"/>
          <w:sz w:val="22"/>
          <w:szCs w:val="22"/>
        </w:rPr>
      </w:pPr>
      <w:r w:rsidRPr="004B44F4">
        <w:rPr>
          <w:rFonts w:ascii="Calibri" w:hAnsi="Calibri"/>
          <w:b/>
          <w:bCs/>
          <w:sz w:val="22"/>
          <w:szCs w:val="22"/>
        </w:rPr>
        <w:t>A l’issue de cette première phase</w:t>
      </w:r>
      <w:r>
        <w:rPr>
          <w:rFonts w:ascii="Calibri" w:hAnsi="Calibri"/>
          <w:sz w:val="22"/>
          <w:szCs w:val="22"/>
        </w:rPr>
        <w:t>, les lauréats, ayant bénéficié de l’accompagnement technique en première phase, pourront effectuer une demande de financement auprès des partenaires organisateurs de l’AMI, dans l’objectif de lancer opérationnellement leurs projets.</w:t>
      </w:r>
    </w:p>
    <w:p w14:paraId="04F54BC1" w14:textId="77777777" w:rsidR="0004462C" w:rsidRDefault="0004462C">
      <w:pPr>
        <w:pStyle w:val="Standard"/>
        <w:jc w:val="both"/>
        <w:rPr>
          <w:rFonts w:ascii="Calibri" w:hAnsi="Calibri"/>
          <w:sz w:val="22"/>
          <w:szCs w:val="22"/>
        </w:rPr>
      </w:pPr>
    </w:p>
    <w:p w14:paraId="04F54BC2" w14:textId="77777777" w:rsidR="0004462C" w:rsidRDefault="00081831">
      <w:pPr>
        <w:pStyle w:val="Standard"/>
        <w:jc w:val="both"/>
        <w:rPr>
          <w:rFonts w:ascii="Calibri" w:hAnsi="Calibri"/>
          <w:sz w:val="22"/>
          <w:szCs w:val="22"/>
        </w:rPr>
      </w:pPr>
      <w:r>
        <w:rPr>
          <w:rFonts w:ascii="Calibri" w:hAnsi="Calibri"/>
          <w:sz w:val="22"/>
          <w:szCs w:val="22"/>
        </w:rPr>
        <w:t>L’accompagnement financier concerne les actions suivantes :</w:t>
      </w:r>
    </w:p>
    <w:p w14:paraId="04F54BC3" w14:textId="77777777" w:rsidR="0004462C" w:rsidRDefault="00081831">
      <w:pPr>
        <w:pStyle w:val="Standard"/>
        <w:numPr>
          <w:ilvl w:val="0"/>
          <w:numId w:val="6"/>
        </w:numPr>
        <w:jc w:val="both"/>
        <w:rPr>
          <w:rFonts w:ascii="Calibri" w:hAnsi="Calibri"/>
          <w:sz w:val="22"/>
          <w:szCs w:val="22"/>
        </w:rPr>
      </w:pPr>
      <w:r>
        <w:rPr>
          <w:rFonts w:ascii="Calibri" w:hAnsi="Calibri"/>
          <w:sz w:val="22"/>
          <w:szCs w:val="22"/>
        </w:rPr>
        <w:t>Diagnostic et étude de faisabilité/opportunité/pré-opérationnelle liés à la réalisation d’investissements ;</w:t>
      </w:r>
    </w:p>
    <w:p w14:paraId="04F54BC4" w14:textId="77777777" w:rsidR="0004462C" w:rsidRDefault="00081831">
      <w:pPr>
        <w:pStyle w:val="Standard"/>
        <w:numPr>
          <w:ilvl w:val="0"/>
          <w:numId w:val="6"/>
        </w:numPr>
        <w:jc w:val="both"/>
        <w:rPr>
          <w:rFonts w:ascii="Calibri" w:hAnsi="Calibri"/>
          <w:sz w:val="22"/>
          <w:szCs w:val="22"/>
        </w:rPr>
      </w:pPr>
      <w:r>
        <w:rPr>
          <w:rFonts w:ascii="Calibri" w:hAnsi="Calibri"/>
          <w:sz w:val="22"/>
          <w:szCs w:val="22"/>
        </w:rPr>
        <w:t>Mise en place opérationnelle d’une animation de la démarche d’EIT, y compris la prise en charge de ressources d’animation ;</w:t>
      </w:r>
    </w:p>
    <w:p w14:paraId="04F54BC5" w14:textId="77777777" w:rsidR="0004462C" w:rsidRDefault="00081831">
      <w:pPr>
        <w:pStyle w:val="Standard"/>
        <w:numPr>
          <w:ilvl w:val="0"/>
          <w:numId w:val="6"/>
        </w:numPr>
        <w:jc w:val="both"/>
        <w:rPr>
          <w:rFonts w:ascii="Calibri" w:hAnsi="Calibri"/>
          <w:sz w:val="22"/>
          <w:szCs w:val="22"/>
        </w:rPr>
      </w:pPr>
      <w:r>
        <w:rPr>
          <w:rFonts w:ascii="Calibri" w:hAnsi="Calibri"/>
          <w:sz w:val="22"/>
          <w:szCs w:val="22"/>
        </w:rPr>
        <w:t>Accompagnement des changements de pratiques, modèles et comportements ;</w:t>
      </w:r>
    </w:p>
    <w:p w14:paraId="04F54BC6" w14:textId="77777777" w:rsidR="0004462C" w:rsidRDefault="00081831">
      <w:pPr>
        <w:pStyle w:val="Standard"/>
        <w:numPr>
          <w:ilvl w:val="0"/>
          <w:numId w:val="6"/>
        </w:numPr>
        <w:jc w:val="both"/>
        <w:rPr>
          <w:rFonts w:ascii="Calibri" w:hAnsi="Calibri"/>
          <w:sz w:val="22"/>
          <w:szCs w:val="22"/>
        </w:rPr>
      </w:pPr>
      <w:r>
        <w:rPr>
          <w:rFonts w:ascii="Calibri" w:hAnsi="Calibri"/>
          <w:sz w:val="22"/>
          <w:szCs w:val="22"/>
        </w:rPr>
        <w:t>Communication relative à la démarche d’EIT présentée.</w:t>
      </w:r>
    </w:p>
    <w:p w14:paraId="04F54BC7" w14:textId="77777777" w:rsidR="0004462C" w:rsidRDefault="0004462C">
      <w:pPr>
        <w:pStyle w:val="Standard"/>
        <w:jc w:val="both"/>
        <w:rPr>
          <w:rFonts w:ascii="Calibri" w:hAnsi="Calibri"/>
          <w:sz w:val="22"/>
          <w:szCs w:val="22"/>
        </w:rPr>
      </w:pPr>
    </w:p>
    <w:p w14:paraId="04F54BC8" w14:textId="77777777" w:rsidR="0004462C" w:rsidRDefault="00081831">
      <w:pPr>
        <w:pStyle w:val="Standard"/>
        <w:jc w:val="both"/>
        <w:rPr>
          <w:rFonts w:ascii="Calibri" w:hAnsi="Calibri"/>
          <w:sz w:val="22"/>
          <w:szCs w:val="22"/>
        </w:rPr>
      </w:pPr>
      <w:r>
        <w:rPr>
          <w:rFonts w:ascii="Calibri" w:hAnsi="Calibri"/>
          <w:sz w:val="22"/>
          <w:szCs w:val="22"/>
        </w:rPr>
        <w:t>Les autres investissements, y compris équipements, infrastructures, et prestations d’ingénierie, quand elles concourent à la concrétisation du projet, peuvent faire l’objet d’un accompagnement financier dans le cadre des dispositifs d’aide propres aux partenaires (hors cadre présent AMI).</w:t>
      </w:r>
    </w:p>
    <w:p w14:paraId="04F54BC9" w14:textId="77777777" w:rsidR="0004462C" w:rsidRDefault="0004462C">
      <w:pPr>
        <w:pStyle w:val="Standard"/>
        <w:jc w:val="both"/>
        <w:rPr>
          <w:rFonts w:ascii="Calibri" w:hAnsi="Calibri"/>
          <w:sz w:val="22"/>
          <w:szCs w:val="22"/>
        </w:rPr>
      </w:pPr>
    </w:p>
    <w:p w14:paraId="04F54BCA" w14:textId="77777777" w:rsidR="0004462C" w:rsidRDefault="00081831">
      <w:pPr>
        <w:pStyle w:val="Standard"/>
        <w:jc w:val="both"/>
        <w:rPr>
          <w:rFonts w:ascii="Calibri" w:hAnsi="Calibri"/>
          <w:sz w:val="22"/>
          <w:szCs w:val="22"/>
        </w:rPr>
      </w:pPr>
      <w:r>
        <w:rPr>
          <w:rFonts w:ascii="Calibri" w:hAnsi="Calibri"/>
          <w:sz w:val="22"/>
          <w:szCs w:val="22"/>
        </w:rPr>
        <w:t>L’obtention de ces aides financières par les lauréats devra faire l’objet d’un dépôt de dossier spécifique auprès de chacun des financeurs. Il est à souligner que l’aide des financeurs sera attribuée par leurs instances de décision.</w:t>
      </w:r>
    </w:p>
    <w:p w14:paraId="0DF62911" w14:textId="77777777" w:rsidR="00FD465F" w:rsidRDefault="00FD465F">
      <w:pPr>
        <w:suppressAutoHyphens w:val="0"/>
        <w:rPr>
          <w:rFonts w:hint="eastAsia"/>
        </w:rPr>
      </w:pPr>
      <w:r>
        <w:rPr>
          <w:rFonts w:hint="eastAsia"/>
        </w:rPr>
        <w:br w:type="page"/>
      </w:r>
    </w:p>
    <w:p w14:paraId="04F54BCB" w14:textId="43617C9B" w:rsidR="0004462C" w:rsidRDefault="00081831">
      <w:pPr>
        <w:pStyle w:val="Standard"/>
        <w:jc w:val="both"/>
        <w:rPr>
          <w:rFonts w:hint="eastAsia"/>
        </w:rPr>
      </w:pPr>
      <w:r>
        <w:rPr>
          <w:rFonts w:ascii="Calibri" w:hAnsi="Calibri"/>
          <w:noProof/>
          <w:sz w:val="22"/>
          <w:szCs w:val="22"/>
        </w:rPr>
        <w:lastRenderedPageBreak/>
        <w:drawing>
          <wp:anchor distT="0" distB="0" distL="114300" distR="114300" simplePos="0" relativeHeight="251658752" behindDoc="1" locked="0" layoutInCell="1" allowOverlap="1" wp14:anchorId="04F54B82" wp14:editId="3ED32990">
            <wp:simplePos x="0" y="0"/>
            <wp:positionH relativeFrom="margin">
              <wp:align>right</wp:align>
            </wp:positionH>
            <wp:positionV relativeFrom="paragraph">
              <wp:posOffset>72776</wp:posOffset>
            </wp:positionV>
            <wp:extent cx="6160505" cy="397638"/>
            <wp:effectExtent l="19050" t="19050" r="12065" b="21590"/>
            <wp:wrapNone/>
            <wp:docPr id="12" name="Forme1_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lum/>
                      <a:alphaModFix/>
                    </a:blip>
                    <a:srcRect/>
                    <a:stretch>
                      <a:fillRect/>
                    </a:stretch>
                  </pic:blipFill>
                  <pic:spPr>
                    <a:xfrm>
                      <a:off x="0" y="0"/>
                      <a:ext cx="6191779" cy="399657"/>
                    </a:xfrm>
                    <a:prstGeom prst="rect">
                      <a:avLst/>
                    </a:prstGeom>
                    <a:noFill/>
                    <a:ln w="0">
                      <a:solidFill>
                        <a:srgbClr val="000000"/>
                      </a:solidFill>
                      <a:prstDash val="solid"/>
                    </a:ln>
                  </pic:spPr>
                </pic:pic>
              </a:graphicData>
            </a:graphic>
            <wp14:sizeRelV relativeFrom="margin">
              <wp14:pctHeight>0</wp14:pctHeight>
            </wp14:sizeRelV>
          </wp:anchor>
        </w:drawing>
      </w:r>
    </w:p>
    <w:p w14:paraId="04F54BCC" w14:textId="77777777" w:rsidR="0004462C" w:rsidRDefault="00081831">
      <w:pPr>
        <w:pStyle w:val="Standard"/>
        <w:jc w:val="both"/>
        <w:rPr>
          <w:rFonts w:hint="eastAsia"/>
        </w:rPr>
      </w:pPr>
      <w:r>
        <w:rPr>
          <w:rFonts w:ascii="Calibri" w:hAnsi="Calibri"/>
          <w:b/>
          <w:bCs/>
          <w:color w:val="FFFFFF"/>
        </w:rPr>
        <w:t>A qui s’adresse cet Appel à manifestation d’intérêt ?</w:t>
      </w:r>
    </w:p>
    <w:p w14:paraId="04F54BCD" w14:textId="77777777" w:rsidR="0004462C" w:rsidRDefault="0004462C">
      <w:pPr>
        <w:pStyle w:val="Standard"/>
        <w:jc w:val="both"/>
        <w:rPr>
          <w:rFonts w:ascii="Calibri" w:hAnsi="Calibri"/>
          <w:sz w:val="22"/>
          <w:szCs w:val="22"/>
        </w:rPr>
      </w:pPr>
    </w:p>
    <w:p w14:paraId="60413023" w14:textId="77777777" w:rsidR="00FD465F" w:rsidRDefault="00FD465F">
      <w:pPr>
        <w:pStyle w:val="Standard"/>
        <w:jc w:val="both"/>
        <w:rPr>
          <w:rFonts w:ascii="Calibri" w:hAnsi="Calibri"/>
          <w:sz w:val="22"/>
          <w:szCs w:val="22"/>
        </w:rPr>
      </w:pPr>
    </w:p>
    <w:p w14:paraId="04F54BCE" w14:textId="45EE4105" w:rsidR="0004462C" w:rsidRDefault="00081831">
      <w:pPr>
        <w:pStyle w:val="Standard"/>
        <w:jc w:val="both"/>
        <w:rPr>
          <w:rFonts w:ascii="Calibri" w:hAnsi="Calibri"/>
          <w:sz w:val="22"/>
          <w:szCs w:val="22"/>
        </w:rPr>
      </w:pPr>
      <w:r>
        <w:rPr>
          <w:rFonts w:ascii="Calibri" w:hAnsi="Calibri"/>
          <w:sz w:val="22"/>
          <w:szCs w:val="22"/>
        </w:rPr>
        <w:t>Peuvent répondre à cet AMI, les porteurs de projets souhaitant initier ou développer un projet situé en Île-de-France en lien avec les enjeux d’écologie industrielle et territoriale. Toutes les catégories de porteurs de projets sont éligibles, à l’exception des personnes physiques :</w:t>
      </w:r>
    </w:p>
    <w:p w14:paraId="04F54BCF" w14:textId="77777777" w:rsidR="0004462C" w:rsidRDefault="0004462C">
      <w:pPr>
        <w:pStyle w:val="Standard"/>
        <w:jc w:val="both"/>
        <w:rPr>
          <w:rFonts w:ascii="Calibri" w:hAnsi="Calibri"/>
          <w:sz w:val="22"/>
          <w:szCs w:val="22"/>
        </w:rPr>
      </w:pPr>
    </w:p>
    <w:p w14:paraId="04F54BD0" w14:textId="77777777" w:rsidR="0004462C" w:rsidRDefault="00081831">
      <w:pPr>
        <w:pStyle w:val="Standard"/>
        <w:numPr>
          <w:ilvl w:val="0"/>
          <w:numId w:val="7"/>
        </w:numPr>
        <w:jc w:val="both"/>
        <w:rPr>
          <w:rFonts w:ascii="Calibri" w:hAnsi="Calibri"/>
          <w:sz w:val="22"/>
          <w:szCs w:val="22"/>
        </w:rPr>
      </w:pPr>
      <w:r>
        <w:rPr>
          <w:rFonts w:ascii="Calibri" w:hAnsi="Calibri"/>
          <w:sz w:val="22"/>
          <w:szCs w:val="22"/>
        </w:rPr>
        <w:t>Acteurs ou groupements d’acteurs publics : collectivités à différentes échelles géographiques (communes, intercommunalités, Établissements publics territoriaux (EPT), Établissements publics de coopération intercommunale (EPCI), syndicats mixtes, etc.</w:t>
      </w:r>
    </w:p>
    <w:p w14:paraId="04F54BD1" w14:textId="77777777" w:rsidR="0004462C" w:rsidRDefault="00081831">
      <w:pPr>
        <w:pStyle w:val="Standard"/>
        <w:numPr>
          <w:ilvl w:val="0"/>
          <w:numId w:val="7"/>
        </w:numPr>
        <w:jc w:val="both"/>
        <w:rPr>
          <w:rFonts w:ascii="Calibri" w:hAnsi="Calibri"/>
          <w:sz w:val="22"/>
          <w:szCs w:val="22"/>
        </w:rPr>
      </w:pPr>
      <w:r>
        <w:rPr>
          <w:rFonts w:ascii="Calibri" w:hAnsi="Calibri"/>
          <w:sz w:val="22"/>
          <w:szCs w:val="22"/>
        </w:rPr>
        <w:t>Acteurs ou groupements d’acteurs privés : entreprises, groupements d’entreprises, syndicats ou fédérations professionnelles.</w:t>
      </w:r>
    </w:p>
    <w:p w14:paraId="04F54BD2" w14:textId="77777777" w:rsidR="0004462C" w:rsidRDefault="00081831">
      <w:pPr>
        <w:pStyle w:val="Standard"/>
        <w:numPr>
          <w:ilvl w:val="0"/>
          <w:numId w:val="7"/>
        </w:numPr>
        <w:jc w:val="both"/>
        <w:rPr>
          <w:rFonts w:ascii="Calibri" w:hAnsi="Calibri"/>
          <w:sz w:val="22"/>
          <w:szCs w:val="22"/>
        </w:rPr>
      </w:pPr>
      <w:r>
        <w:rPr>
          <w:rFonts w:ascii="Calibri" w:hAnsi="Calibri"/>
          <w:sz w:val="22"/>
          <w:szCs w:val="22"/>
        </w:rPr>
        <w:t>Acteurs associatifs.</w:t>
      </w:r>
    </w:p>
    <w:p w14:paraId="04F54BD3" w14:textId="77777777" w:rsidR="0004462C" w:rsidRDefault="00081831">
      <w:pPr>
        <w:pStyle w:val="Standard"/>
        <w:numPr>
          <w:ilvl w:val="0"/>
          <w:numId w:val="7"/>
        </w:numPr>
        <w:jc w:val="both"/>
        <w:rPr>
          <w:rFonts w:ascii="Calibri" w:hAnsi="Calibri"/>
          <w:sz w:val="22"/>
          <w:szCs w:val="22"/>
        </w:rPr>
      </w:pPr>
      <w:r>
        <w:rPr>
          <w:rFonts w:ascii="Calibri" w:hAnsi="Calibri"/>
          <w:sz w:val="22"/>
          <w:szCs w:val="22"/>
        </w:rPr>
        <w:t>Autres structures : fondations, GIP, GIE, organismes consulaires.</w:t>
      </w:r>
    </w:p>
    <w:p w14:paraId="04F54BD4" w14:textId="0F0A9FAD" w:rsidR="0004462C" w:rsidRDefault="0004462C">
      <w:pPr>
        <w:pStyle w:val="Standard"/>
        <w:jc w:val="both"/>
        <w:rPr>
          <w:rFonts w:ascii="Calibri" w:hAnsi="Calibri"/>
          <w:sz w:val="22"/>
          <w:szCs w:val="22"/>
        </w:rPr>
      </w:pPr>
    </w:p>
    <w:p w14:paraId="259C742F" w14:textId="77777777" w:rsidR="00FD465F" w:rsidRDefault="00FD465F">
      <w:pPr>
        <w:pStyle w:val="Standard"/>
        <w:jc w:val="both"/>
        <w:rPr>
          <w:rFonts w:ascii="Calibri" w:hAnsi="Calibri"/>
          <w:sz w:val="22"/>
          <w:szCs w:val="22"/>
        </w:rPr>
      </w:pPr>
    </w:p>
    <w:p w14:paraId="04F54BD5" w14:textId="77777777" w:rsidR="0004462C" w:rsidRDefault="00081831">
      <w:pPr>
        <w:pStyle w:val="Standard"/>
        <w:rPr>
          <w:rFonts w:hint="eastAsia"/>
        </w:rPr>
      </w:pPr>
      <w:r>
        <w:rPr>
          <w:rFonts w:ascii="Calibri" w:hAnsi="Calibri"/>
          <w:noProof/>
          <w:sz w:val="22"/>
          <w:szCs w:val="22"/>
        </w:rPr>
        <w:drawing>
          <wp:anchor distT="0" distB="0" distL="114300" distR="114300" simplePos="0" relativeHeight="251665920" behindDoc="1" locked="0" layoutInCell="1" allowOverlap="1" wp14:anchorId="04F54B84" wp14:editId="0D21D243">
            <wp:simplePos x="0" y="0"/>
            <wp:positionH relativeFrom="margin">
              <wp:posOffset>-76007</wp:posOffset>
            </wp:positionH>
            <wp:positionV relativeFrom="paragraph">
              <wp:posOffset>58942</wp:posOffset>
            </wp:positionV>
            <wp:extent cx="6361531" cy="426576"/>
            <wp:effectExtent l="19050" t="19050" r="20320" b="12065"/>
            <wp:wrapNone/>
            <wp:docPr id="13" name="Forme1_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lum/>
                      <a:alphaModFix/>
                    </a:blip>
                    <a:srcRect/>
                    <a:stretch>
                      <a:fillRect/>
                    </a:stretch>
                  </pic:blipFill>
                  <pic:spPr>
                    <a:xfrm>
                      <a:off x="0" y="0"/>
                      <a:ext cx="6414235" cy="430110"/>
                    </a:xfrm>
                    <a:prstGeom prst="rect">
                      <a:avLst/>
                    </a:prstGeom>
                    <a:noFill/>
                    <a:ln w="0">
                      <a:solidFill>
                        <a:srgbClr val="000000"/>
                      </a:solidFill>
                      <a:prstDash val="solid"/>
                    </a:ln>
                  </pic:spPr>
                </pic:pic>
              </a:graphicData>
            </a:graphic>
            <wp14:sizeRelH relativeFrom="margin">
              <wp14:pctWidth>0</wp14:pctWidth>
            </wp14:sizeRelH>
            <wp14:sizeRelV relativeFrom="margin">
              <wp14:pctHeight>0</wp14:pctHeight>
            </wp14:sizeRelV>
          </wp:anchor>
        </w:drawing>
      </w:r>
      <w:r>
        <w:rPr>
          <w:rFonts w:ascii="Calibri" w:hAnsi="Calibri"/>
          <w:sz w:val="22"/>
          <w:szCs w:val="22"/>
        </w:rPr>
        <w:t xml:space="preserve">                                                   </w:t>
      </w:r>
    </w:p>
    <w:p w14:paraId="04F54BD6" w14:textId="77777777" w:rsidR="0004462C" w:rsidRDefault="00081831">
      <w:pPr>
        <w:pStyle w:val="Standard"/>
        <w:rPr>
          <w:rFonts w:ascii="Calibri" w:hAnsi="Calibri"/>
          <w:b/>
          <w:bCs/>
          <w:color w:val="FFFFFF"/>
        </w:rPr>
      </w:pPr>
      <w:r>
        <w:rPr>
          <w:rFonts w:ascii="Calibri" w:hAnsi="Calibri"/>
          <w:b/>
          <w:bCs/>
          <w:color w:val="FFFFFF"/>
        </w:rPr>
        <w:t>Quels sont les critères à respecter pour s’assurer de l’éligibilité de sa candidature ?</w:t>
      </w:r>
    </w:p>
    <w:p w14:paraId="04F54BD7" w14:textId="77777777" w:rsidR="0004462C" w:rsidRDefault="0004462C">
      <w:pPr>
        <w:pStyle w:val="Standard"/>
        <w:rPr>
          <w:rFonts w:ascii="Calibri" w:hAnsi="Calibri"/>
          <w:sz w:val="22"/>
          <w:szCs w:val="22"/>
        </w:rPr>
      </w:pPr>
    </w:p>
    <w:p w14:paraId="4B4AC99C" w14:textId="77777777" w:rsidR="00FD465F" w:rsidRDefault="00FD465F">
      <w:pPr>
        <w:pStyle w:val="Standard"/>
        <w:jc w:val="both"/>
        <w:rPr>
          <w:rFonts w:ascii="Calibri" w:hAnsi="Calibri"/>
          <w:sz w:val="22"/>
          <w:szCs w:val="22"/>
        </w:rPr>
      </w:pPr>
    </w:p>
    <w:p w14:paraId="04A737FA" w14:textId="77777777" w:rsidR="00910C91" w:rsidRDefault="00910C91" w:rsidP="003A359A">
      <w:pPr>
        <w:pStyle w:val="Standard"/>
        <w:rPr>
          <w:rFonts w:ascii="Calibri" w:hAnsi="Calibri"/>
          <w:sz w:val="22"/>
          <w:szCs w:val="22"/>
        </w:rPr>
      </w:pPr>
      <w:r w:rsidRPr="00910C91">
        <w:rPr>
          <w:rFonts w:ascii="Calibri" w:hAnsi="Calibri"/>
          <w:sz w:val="22"/>
          <w:szCs w:val="22"/>
        </w:rPr>
        <w:t>Pour être éligible, le dossier de candidature doit :</w:t>
      </w:r>
      <w:r w:rsidRPr="00910C91">
        <w:rPr>
          <w:rFonts w:ascii="Calibri" w:hAnsi="Calibri"/>
          <w:sz w:val="22"/>
          <w:szCs w:val="22"/>
        </w:rPr>
        <w:br/>
      </w:r>
    </w:p>
    <w:p w14:paraId="1C6B0B54" w14:textId="77777777" w:rsidR="00910C91" w:rsidRPr="00910C91" w:rsidRDefault="00910C91" w:rsidP="00910C91">
      <w:pPr>
        <w:pStyle w:val="Standard"/>
        <w:numPr>
          <w:ilvl w:val="3"/>
          <w:numId w:val="17"/>
        </w:numPr>
        <w:ind w:left="709"/>
        <w:rPr>
          <w:rFonts w:ascii="Calibri" w:hAnsi="Calibri"/>
          <w:sz w:val="21"/>
          <w:szCs w:val="21"/>
        </w:rPr>
      </w:pPr>
      <w:r w:rsidRPr="00910C91">
        <w:rPr>
          <w:rFonts w:ascii="Calibri" w:hAnsi="Calibri"/>
          <w:sz w:val="22"/>
          <w:szCs w:val="22"/>
        </w:rPr>
        <w:t>Être porté par une entité capable de rendre compte à échéance régulière de la mise en œuvre du projet ainsi que sa viabilité économique ;</w:t>
      </w:r>
      <w:r>
        <w:rPr>
          <w:rFonts w:ascii="Calibri" w:hAnsi="Calibri"/>
          <w:sz w:val="22"/>
          <w:szCs w:val="22"/>
        </w:rPr>
        <w:t xml:space="preserve"> </w:t>
      </w:r>
    </w:p>
    <w:p w14:paraId="695AECCC" w14:textId="77777777" w:rsidR="00910C91" w:rsidRPr="00910C91" w:rsidRDefault="00910C91" w:rsidP="00910C91">
      <w:pPr>
        <w:pStyle w:val="Standard"/>
        <w:numPr>
          <w:ilvl w:val="3"/>
          <w:numId w:val="17"/>
        </w:numPr>
        <w:ind w:left="709"/>
        <w:rPr>
          <w:rFonts w:ascii="Calibri" w:hAnsi="Calibri"/>
          <w:sz w:val="21"/>
          <w:szCs w:val="21"/>
        </w:rPr>
      </w:pPr>
      <w:r w:rsidRPr="00910C91">
        <w:rPr>
          <w:rFonts w:ascii="Calibri" w:hAnsi="Calibri"/>
          <w:sz w:val="22"/>
          <w:szCs w:val="22"/>
        </w:rPr>
        <w:t>Répondre aux critères géographiques (projets localisés en Île-de-France) ;</w:t>
      </w:r>
    </w:p>
    <w:p w14:paraId="5DF8E794" w14:textId="77777777" w:rsidR="00910C91" w:rsidRDefault="00910C91" w:rsidP="00910C91">
      <w:pPr>
        <w:pStyle w:val="Standard"/>
        <w:ind w:left="349"/>
        <w:rPr>
          <w:rFonts w:ascii="Calibri" w:hAnsi="Calibri"/>
          <w:sz w:val="22"/>
          <w:szCs w:val="22"/>
        </w:rPr>
      </w:pPr>
    </w:p>
    <w:p w14:paraId="0FE55EB4" w14:textId="1E9D083F" w:rsidR="00910C91" w:rsidRDefault="00910C91" w:rsidP="003A359A">
      <w:pPr>
        <w:pStyle w:val="Standard"/>
        <w:rPr>
          <w:rFonts w:ascii="Calibri" w:hAnsi="Calibri"/>
          <w:sz w:val="22"/>
          <w:szCs w:val="22"/>
        </w:rPr>
      </w:pPr>
      <w:r w:rsidRPr="00910C91">
        <w:rPr>
          <w:rFonts w:ascii="Calibri" w:hAnsi="Calibri"/>
          <w:sz w:val="22"/>
          <w:szCs w:val="22"/>
        </w:rPr>
        <w:t>Les candidatures doivent :</w:t>
      </w:r>
    </w:p>
    <w:p w14:paraId="09520DF1" w14:textId="77777777" w:rsidR="00910C91" w:rsidRDefault="00910C91" w:rsidP="00910C91">
      <w:pPr>
        <w:pStyle w:val="Standard"/>
        <w:ind w:left="349"/>
        <w:rPr>
          <w:rFonts w:ascii="Calibri" w:hAnsi="Calibri"/>
          <w:sz w:val="22"/>
          <w:szCs w:val="22"/>
        </w:rPr>
      </w:pPr>
    </w:p>
    <w:p w14:paraId="61FE7F19" w14:textId="77777777" w:rsidR="00910C91" w:rsidRPr="00910C91" w:rsidRDefault="00910C91" w:rsidP="00910C91">
      <w:pPr>
        <w:pStyle w:val="Standard"/>
        <w:numPr>
          <w:ilvl w:val="0"/>
          <w:numId w:val="18"/>
        </w:numPr>
        <w:spacing w:after="120"/>
        <w:ind w:left="709" w:hanging="357"/>
        <w:jc w:val="both"/>
        <w:rPr>
          <w:rFonts w:ascii="Calibri" w:hAnsi="Calibri"/>
          <w:sz w:val="21"/>
          <w:szCs w:val="21"/>
        </w:rPr>
      </w:pPr>
      <w:r w:rsidRPr="00910C91">
        <w:rPr>
          <w:rFonts w:ascii="Calibri" w:hAnsi="Calibri"/>
          <w:sz w:val="22"/>
          <w:szCs w:val="22"/>
        </w:rPr>
        <w:t>Bénéficier d’un soutien marqué au niveau du territoire. Un courrier portant cet appui territorial sera apprécié</w:t>
      </w:r>
      <w:r>
        <w:rPr>
          <w:rFonts w:ascii="Calibri" w:hAnsi="Calibri"/>
          <w:sz w:val="22"/>
          <w:szCs w:val="22"/>
        </w:rPr>
        <w:t> ;</w:t>
      </w:r>
    </w:p>
    <w:p w14:paraId="20807A5E" w14:textId="77777777" w:rsidR="00910C91" w:rsidRPr="00910C91" w:rsidRDefault="00910C91" w:rsidP="00910C91">
      <w:pPr>
        <w:pStyle w:val="Standard"/>
        <w:numPr>
          <w:ilvl w:val="0"/>
          <w:numId w:val="18"/>
        </w:numPr>
        <w:spacing w:after="120"/>
        <w:ind w:left="709" w:hanging="357"/>
        <w:jc w:val="both"/>
        <w:rPr>
          <w:rFonts w:ascii="Calibri" w:hAnsi="Calibri"/>
          <w:sz w:val="21"/>
          <w:szCs w:val="21"/>
        </w:rPr>
      </w:pPr>
      <w:r w:rsidRPr="00910C91">
        <w:rPr>
          <w:rFonts w:ascii="Calibri" w:hAnsi="Calibri"/>
          <w:sz w:val="22"/>
          <w:szCs w:val="22"/>
        </w:rPr>
        <w:t xml:space="preserve">Préciser le contexte de développement de </w:t>
      </w:r>
      <w:r>
        <w:rPr>
          <w:rFonts w:ascii="Calibri" w:hAnsi="Calibri"/>
          <w:sz w:val="22"/>
          <w:szCs w:val="22"/>
        </w:rPr>
        <w:t>la</w:t>
      </w:r>
      <w:r w:rsidRPr="00910C91">
        <w:rPr>
          <w:rFonts w:ascii="Calibri" w:hAnsi="Calibri"/>
          <w:sz w:val="22"/>
          <w:szCs w:val="22"/>
        </w:rPr>
        <w:t xml:space="preserve"> démarche EIT en renseignant le formulaire de prédiagnostic de la démarche (contexte, gouvernance, objectifs, moyens et plan d’actions prévisionnels, cartographie de l’action).</w:t>
      </w:r>
    </w:p>
    <w:p w14:paraId="7574ECFC" w14:textId="539ECFAD" w:rsidR="00FD465F" w:rsidRDefault="00FD465F">
      <w:pPr>
        <w:pStyle w:val="Standard"/>
        <w:rPr>
          <w:rFonts w:ascii="Calibri" w:hAnsi="Calibri"/>
          <w:sz w:val="21"/>
          <w:szCs w:val="21"/>
        </w:rPr>
      </w:pPr>
    </w:p>
    <w:p w14:paraId="0E91F019" w14:textId="77777777" w:rsidR="00910C91" w:rsidRDefault="00910C91">
      <w:pPr>
        <w:pStyle w:val="Standard"/>
        <w:rPr>
          <w:rFonts w:ascii="Calibri" w:hAnsi="Calibri"/>
          <w:sz w:val="21"/>
          <w:szCs w:val="21"/>
        </w:rPr>
      </w:pPr>
    </w:p>
    <w:p w14:paraId="04F54BE0" w14:textId="77777777" w:rsidR="0004462C" w:rsidRDefault="00081831">
      <w:pPr>
        <w:pStyle w:val="Standard"/>
        <w:jc w:val="both"/>
        <w:rPr>
          <w:rFonts w:hint="eastAsia"/>
        </w:rPr>
      </w:pPr>
      <w:r>
        <w:rPr>
          <w:rFonts w:ascii="Calibri" w:hAnsi="Calibri"/>
          <w:noProof/>
          <w:sz w:val="22"/>
          <w:szCs w:val="22"/>
        </w:rPr>
        <w:drawing>
          <wp:anchor distT="0" distB="0" distL="114300" distR="114300" simplePos="0" relativeHeight="251661824" behindDoc="1" locked="0" layoutInCell="1" allowOverlap="1" wp14:anchorId="04F54B86" wp14:editId="6B135F95">
            <wp:simplePos x="0" y="0"/>
            <wp:positionH relativeFrom="margin">
              <wp:posOffset>-87582</wp:posOffset>
            </wp:positionH>
            <wp:positionV relativeFrom="paragraph">
              <wp:posOffset>62648</wp:posOffset>
            </wp:positionV>
            <wp:extent cx="6177549" cy="443937"/>
            <wp:effectExtent l="19050" t="19050" r="13970" b="13335"/>
            <wp:wrapNone/>
            <wp:docPr id="14" name="Forme1_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lum/>
                      <a:alphaModFix/>
                    </a:blip>
                    <a:srcRect/>
                    <a:stretch>
                      <a:fillRect/>
                    </a:stretch>
                  </pic:blipFill>
                  <pic:spPr>
                    <a:xfrm>
                      <a:off x="0" y="0"/>
                      <a:ext cx="6268779" cy="450493"/>
                    </a:xfrm>
                    <a:prstGeom prst="rect">
                      <a:avLst/>
                    </a:prstGeom>
                    <a:noFill/>
                    <a:ln w="0">
                      <a:solidFill>
                        <a:srgbClr val="000000"/>
                      </a:solidFill>
                      <a:prstDash val="solid"/>
                    </a:ln>
                  </pic:spPr>
                </pic:pic>
              </a:graphicData>
            </a:graphic>
            <wp14:sizeRelH relativeFrom="margin">
              <wp14:pctWidth>0</wp14:pctWidth>
            </wp14:sizeRelH>
            <wp14:sizeRelV relativeFrom="margin">
              <wp14:pctHeight>0</wp14:pctHeight>
            </wp14:sizeRelV>
          </wp:anchor>
        </w:drawing>
      </w:r>
    </w:p>
    <w:p w14:paraId="04F54BE1" w14:textId="77777777" w:rsidR="0004462C" w:rsidRDefault="00081831">
      <w:pPr>
        <w:pStyle w:val="Standard"/>
        <w:jc w:val="both"/>
        <w:rPr>
          <w:rFonts w:ascii="Calibri" w:hAnsi="Calibri"/>
          <w:b/>
          <w:bCs/>
          <w:color w:val="FFFFFF"/>
        </w:rPr>
      </w:pPr>
      <w:r>
        <w:rPr>
          <w:rFonts w:ascii="Calibri" w:hAnsi="Calibri"/>
          <w:b/>
          <w:bCs/>
          <w:color w:val="FFFFFF"/>
        </w:rPr>
        <w:t>Calendrier</w:t>
      </w:r>
    </w:p>
    <w:p w14:paraId="04F54BE2" w14:textId="77777777" w:rsidR="0004462C" w:rsidRDefault="0004462C">
      <w:pPr>
        <w:pStyle w:val="Standard"/>
        <w:jc w:val="both"/>
        <w:rPr>
          <w:rFonts w:ascii="Calibri" w:hAnsi="Calibri"/>
          <w:sz w:val="22"/>
          <w:szCs w:val="22"/>
        </w:rPr>
      </w:pPr>
    </w:p>
    <w:p w14:paraId="245F1CE2" w14:textId="77777777" w:rsidR="00FD465F" w:rsidRDefault="00FD465F" w:rsidP="00FD465F">
      <w:pPr>
        <w:pStyle w:val="Standard"/>
        <w:ind w:left="720" w:right="282"/>
        <w:rPr>
          <w:rFonts w:asciiTheme="minorHAnsi" w:hAnsiTheme="minorHAnsi" w:cstheme="minorHAnsi"/>
          <w:sz w:val="22"/>
          <w:szCs w:val="22"/>
        </w:rPr>
      </w:pPr>
    </w:p>
    <w:p w14:paraId="04F54BE4" w14:textId="4E8A819A" w:rsidR="0004462C" w:rsidRPr="00835C15" w:rsidRDefault="00FD465F" w:rsidP="00551633">
      <w:pPr>
        <w:pStyle w:val="Standard"/>
        <w:numPr>
          <w:ilvl w:val="0"/>
          <w:numId w:val="15"/>
        </w:numPr>
        <w:ind w:right="282"/>
        <w:rPr>
          <w:rFonts w:asciiTheme="minorHAnsi" w:hAnsiTheme="minorHAnsi" w:cstheme="minorHAnsi"/>
          <w:sz w:val="22"/>
          <w:szCs w:val="22"/>
        </w:rPr>
      </w:pPr>
      <w:r w:rsidRPr="00835C15">
        <w:rPr>
          <w:rFonts w:asciiTheme="minorHAnsi" w:hAnsiTheme="minorHAnsi" w:cstheme="minorHAnsi"/>
          <w:b/>
          <w:bCs/>
          <w:sz w:val="22"/>
          <w:szCs w:val="22"/>
        </w:rPr>
        <w:t>7 avril 2023 à 14h</w:t>
      </w:r>
      <w:r>
        <w:rPr>
          <w:rFonts w:asciiTheme="minorHAnsi" w:hAnsiTheme="minorHAnsi" w:cstheme="minorHAnsi"/>
          <w:sz w:val="22"/>
          <w:szCs w:val="22"/>
        </w:rPr>
        <w:t> : d</w:t>
      </w:r>
      <w:r w:rsidR="00081831" w:rsidRPr="00835C15">
        <w:rPr>
          <w:rFonts w:asciiTheme="minorHAnsi" w:hAnsiTheme="minorHAnsi" w:cstheme="minorHAnsi"/>
          <w:sz w:val="22"/>
          <w:szCs w:val="22"/>
        </w:rPr>
        <w:t>ate limite de dépôt des candidatures</w:t>
      </w:r>
      <w:r w:rsidRPr="00FD465F">
        <w:rPr>
          <w:rFonts w:asciiTheme="minorHAnsi" w:hAnsiTheme="minorHAnsi" w:cstheme="minorHAnsi"/>
          <w:sz w:val="22"/>
          <w:szCs w:val="22"/>
        </w:rPr>
        <w:t xml:space="preserve"> </w:t>
      </w:r>
      <w:r w:rsidRPr="00835C15">
        <w:rPr>
          <w:rFonts w:asciiTheme="minorHAnsi" w:hAnsiTheme="minorHAnsi" w:cstheme="minorHAnsi"/>
          <w:sz w:val="22"/>
          <w:szCs w:val="22"/>
        </w:rPr>
        <w:t xml:space="preserve">sur la plateforme AGIR </w:t>
      </w:r>
      <w:hyperlink r:id="rId24" w:history="1">
        <w:r w:rsidRPr="00835C15">
          <w:rPr>
            <w:rStyle w:val="Lienhypertexte"/>
            <w:rFonts w:asciiTheme="minorHAnsi" w:hAnsiTheme="minorHAnsi" w:cstheme="minorHAnsi"/>
            <w:sz w:val="22"/>
            <w:szCs w:val="22"/>
          </w:rPr>
          <w:t>https://agirpourlatransition.ademe.fr/</w:t>
        </w:r>
      </w:hyperlink>
      <w:r w:rsidRPr="00835C15">
        <w:rPr>
          <w:rFonts w:asciiTheme="minorHAnsi" w:hAnsiTheme="minorHAnsi" w:cstheme="minorHAnsi"/>
          <w:sz w:val="22"/>
          <w:szCs w:val="22"/>
        </w:rPr>
        <w:t>)</w:t>
      </w:r>
      <w:r w:rsidR="00081831" w:rsidRPr="00835C15">
        <w:rPr>
          <w:rFonts w:asciiTheme="minorHAnsi" w:hAnsiTheme="minorHAnsi" w:cstheme="minorHAnsi"/>
          <w:sz w:val="22"/>
          <w:szCs w:val="22"/>
        </w:rPr>
        <w:t xml:space="preserve">, </w:t>
      </w:r>
      <w:r w:rsidR="00081831" w:rsidRPr="00FD465F">
        <w:rPr>
          <w:rFonts w:asciiTheme="minorHAnsi" w:hAnsiTheme="minorHAnsi" w:cstheme="minorHAnsi"/>
          <w:sz w:val="22"/>
          <w:szCs w:val="22"/>
        </w:rPr>
        <w:t>avec les documents demandés (</w:t>
      </w:r>
      <w:r w:rsidRPr="00FD465F">
        <w:rPr>
          <w:rFonts w:asciiTheme="minorHAnsi" w:hAnsiTheme="minorHAnsi" w:cstheme="minorHAnsi"/>
          <w:sz w:val="22"/>
          <w:szCs w:val="22"/>
        </w:rPr>
        <w:t xml:space="preserve">courrier d’engagement et </w:t>
      </w:r>
      <w:r w:rsidR="00081831" w:rsidRPr="00FD465F">
        <w:rPr>
          <w:rFonts w:asciiTheme="minorHAnsi" w:hAnsiTheme="minorHAnsi" w:cstheme="minorHAnsi"/>
          <w:sz w:val="22"/>
          <w:szCs w:val="22"/>
        </w:rPr>
        <w:t>formulaire de prédiagnostic</w:t>
      </w:r>
      <w:r>
        <w:rPr>
          <w:rFonts w:asciiTheme="minorHAnsi" w:hAnsiTheme="minorHAnsi" w:cstheme="minorHAnsi"/>
          <w:sz w:val="22"/>
          <w:szCs w:val="22"/>
        </w:rPr>
        <w:t xml:space="preserve"> complété</w:t>
      </w:r>
      <w:r w:rsidR="00081831" w:rsidRPr="00FD465F">
        <w:rPr>
          <w:rFonts w:asciiTheme="minorHAnsi" w:hAnsiTheme="minorHAnsi" w:cstheme="minorHAnsi"/>
          <w:sz w:val="22"/>
          <w:szCs w:val="22"/>
        </w:rPr>
        <w:t>)</w:t>
      </w:r>
      <w:r w:rsidR="00462FF4">
        <w:rPr>
          <w:rFonts w:asciiTheme="minorHAnsi" w:hAnsiTheme="minorHAnsi" w:cstheme="minorHAnsi"/>
          <w:sz w:val="22"/>
          <w:szCs w:val="22"/>
        </w:rPr>
        <w:t>.</w:t>
      </w:r>
    </w:p>
    <w:p w14:paraId="04F54BE5" w14:textId="2B5E36E7" w:rsidR="0004462C" w:rsidRPr="00835C15" w:rsidRDefault="00462FF4" w:rsidP="004B44F4">
      <w:pPr>
        <w:pStyle w:val="Standard"/>
        <w:numPr>
          <w:ilvl w:val="0"/>
          <w:numId w:val="14"/>
        </w:numPr>
        <w:jc w:val="both"/>
        <w:rPr>
          <w:rFonts w:asciiTheme="minorHAnsi" w:hAnsiTheme="minorHAnsi" w:cstheme="minorHAnsi"/>
          <w:sz w:val="22"/>
          <w:szCs w:val="22"/>
        </w:rPr>
      </w:pPr>
      <w:r>
        <w:rPr>
          <w:rFonts w:asciiTheme="minorHAnsi" w:hAnsiTheme="minorHAnsi" w:cstheme="minorHAnsi"/>
          <w:b/>
          <w:bCs/>
          <w:sz w:val="22"/>
          <w:szCs w:val="22"/>
        </w:rPr>
        <w:t xml:space="preserve">Du </w:t>
      </w:r>
      <w:r w:rsidRPr="00462FF4">
        <w:rPr>
          <w:rFonts w:asciiTheme="minorHAnsi" w:hAnsiTheme="minorHAnsi" w:cstheme="minorHAnsi"/>
          <w:b/>
          <w:bCs/>
          <w:sz w:val="22"/>
          <w:szCs w:val="22"/>
        </w:rPr>
        <w:t>3 avril au 12 mai</w:t>
      </w:r>
      <w:r>
        <w:rPr>
          <w:rFonts w:asciiTheme="minorHAnsi" w:hAnsiTheme="minorHAnsi" w:cstheme="minorHAnsi"/>
          <w:sz w:val="22"/>
          <w:szCs w:val="22"/>
        </w:rPr>
        <w:t> :</w:t>
      </w:r>
      <w:r w:rsidRPr="00835C15">
        <w:rPr>
          <w:rFonts w:asciiTheme="minorHAnsi" w:hAnsiTheme="minorHAnsi" w:cstheme="minorHAnsi"/>
          <w:sz w:val="22"/>
          <w:szCs w:val="22"/>
        </w:rPr>
        <w:t xml:space="preserve"> </w:t>
      </w:r>
      <w:r w:rsidR="00081831" w:rsidRPr="00835C15">
        <w:rPr>
          <w:rFonts w:asciiTheme="minorHAnsi" w:hAnsiTheme="minorHAnsi" w:cstheme="minorHAnsi"/>
          <w:sz w:val="22"/>
          <w:szCs w:val="22"/>
        </w:rPr>
        <w:t>Auditions ou entretiens en bilatéral avec les candidats</w:t>
      </w:r>
      <w:r>
        <w:rPr>
          <w:rFonts w:asciiTheme="minorHAnsi" w:hAnsiTheme="minorHAnsi" w:cstheme="minorHAnsi"/>
          <w:sz w:val="22"/>
          <w:szCs w:val="22"/>
        </w:rPr>
        <w:t>.</w:t>
      </w:r>
    </w:p>
    <w:p w14:paraId="04F54BE6" w14:textId="4C3D98B6" w:rsidR="0004462C" w:rsidRDefault="00462FF4" w:rsidP="004B44F4">
      <w:pPr>
        <w:pStyle w:val="Standard"/>
        <w:numPr>
          <w:ilvl w:val="0"/>
          <w:numId w:val="14"/>
        </w:numPr>
        <w:jc w:val="both"/>
        <w:rPr>
          <w:rFonts w:ascii="Calibri" w:hAnsi="Calibri"/>
          <w:sz w:val="22"/>
          <w:szCs w:val="22"/>
        </w:rPr>
      </w:pPr>
      <w:r w:rsidRPr="00462FF4">
        <w:rPr>
          <w:rFonts w:ascii="Calibri" w:hAnsi="Calibri"/>
          <w:b/>
          <w:bCs/>
          <w:sz w:val="22"/>
          <w:szCs w:val="22"/>
        </w:rPr>
        <w:t>17 mai</w:t>
      </w:r>
      <w:r>
        <w:rPr>
          <w:rFonts w:ascii="Calibri" w:hAnsi="Calibri"/>
          <w:sz w:val="22"/>
          <w:szCs w:val="22"/>
        </w:rPr>
        <w:t xml:space="preserve"> : </w:t>
      </w:r>
      <w:r w:rsidR="00081831">
        <w:rPr>
          <w:rFonts w:ascii="Calibri" w:hAnsi="Calibri"/>
          <w:sz w:val="22"/>
          <w:szCs w:val="22"/>
        </w:rPr>
        <w:t>Annonce des lauréats</w:t>
      </w:r>
      <w:r>
        <w:rPr>
          <w:rFonts w:ascii="Calibri" w:hAnsi="Calibri"/>
          <w:sz w:val="22"/>
          <w:szCs w:val="22"/>
        </w:rPr>
        <w:t>.</w:t>
      </w:r>
    </w:p>
    <w:p w14:paraId="72185927" w14:textId="77777777" w:rsidR="00462FF4" w:rsidRDefault="00462FF4" w:rsidP="00462FF4">
      <w:pPr>
        <w:pStyle w:val="Standard"/>
        <w:ind w:left="720"/>
        <w:jc w:val="both"/>
        <w:rPr>
          <w:rFonts w:ascii="Calibri" w:hAnsi="Calibri"/>
          <w:sz w:val="22"/>
          <w:szCs w:val="22"/>
        </w:rPr>
      </w:pPr>
    </w:p>
    <w:p w14:paraId="04F54BE7" w14:textId="184DA227" w:rsidR="0004462C" w:rsidRPr="00551633" w:rsidRDefault="00462FF4" w:rsidP="004B44F4">
      <w:pPr>
        <w:pStyle w:val="Standard"/>
        <w:numPr>
          <w:ilvl w:val="0"/>
          <w:numId w:val="14"/>
        </w:numPr>
        <w:jc w:val="both"/>
        <w:rPr>
          <w:rFonts w:hint="eastAsia"/>
        </w:rPr>
      </w:pPr>
      <w:r w:rsidRPr="00462FF4">
        <w:rPr>
          <w:rFonts w:ascii="Calibri" w:hAnsi="Calibri"/>
          <w:b/>
          <w:bCs/>
          <w:sz w:val="22"/>
          <w:szCs w:val="22"/>
        </w:rPr>
        <w:t>Du 1</w:t>
      </w:r>
      <w:r w:rsidRPr="00462FF4">
        <w:rPr>
          <w:rFonts w:ascii="Calibri" w:hAnsi="Calibri"/>
          <w:b/>
          <w:bCs/>
          <w:sz w:val="22"/>
          <w:szCs w:val="22"/>
          <w:vertAlign w:val="superscript"/>
        </w:rPr>
        <w:t>er</w:t>
      </w:r>
      <w:r w:rsidRPr="00462FF4">
        <w:rPr>
          <w:rFonts w:ascii="Calibri" w:hAnsi="Calibri"/>
          <w:b/>
          <w:bCs/>
          <w:sz w:val="22"/>
          <w:szCs w:val="22"/>
        </w:rPr>
        <w:t xml:space="preserve"> juin au 15 novembre 2023</w:t>
      </w:r>
      <w:r>
        <w:rPr>
          <w:rFonts w:ascii="Calibri" w:hAnsi="Calibri"/>
          <w:sz w:val="22"/>
          <w:szCs w:val="22"/>
        </w:rPr>
        <w:t xml:space="preserve"> : </w:t>
      </w:r>
      <w:r w:rsidR="00081831" w:rsidRPr="00551633">
        <w:rPr>
          <w:rFonts w:ascii="Calibri" w:hAnsi="Calibri"/>
          <w:sz w:val="22"/>
          <w:szCs w:val="22"/>
        </w:rPr>
        <w:t>Première phase d’accompagnement technique</w:t>
      </w:r>
    </w:p>
    <w:p w14:paraId="04F54BE8" w14:textId="40407DB1" w:rsidR="0004462C" w:rsidRPr="00551633" w:rsidRDefault="00462FF4" w:rsidP="004B44F4">
      <w:pPr>
        <w:pStyle w:val="Standard"/>
        <w:numPr>
          <w:ilvl w:val="0"/>
          <w:numId w:val="14"/>
        </w:numPr>
        <w:jc w:val="both"/>
        <w:rPr>
          <w:rFonts w:ascii="Calibri" w:hAnsi="Calibri"/>
          <w:sz w:val="22"/>
          <w:szCs w:val="22"/>
        </w:rPr>
      </w:pPr>
      <w:r w:rsidRPr="00462FF4">
        <w:rPr>
          <w:rFonts w:ascii="Calibri" w:hAnsi="Calibri"/>
          <w:b/>
          <w:bCs/>
          <w:sz w:val="22"/>
          <w:szCs w:val="22"/>
        </w:rPr>
        <w:t>Dernier trimestre 2023</w:t>
      </w:r>
      <w:r>
        <w:rPr>
          <w:rFonts w:ascii="Calibri" w:hAnsi="Calibri"/>
          <w:sz w:val="22"/>
          <w:szCs w:val="22"/>
        </w:rPr>
        <w:t xml:space="preserve"> : </w:t>
      </w:r>
      <w:r w:rsidR="00081831" w:rsidRPr="00551633">
        <w:rPr>
          <w:rFonts w:ascii="Calibri" w:hAnsi="Calibri"/>
          <w:sz w:val="22"/>
          <w:szCs w:val="22"/>
        </w:rPr>
        <w:t>Demande de financement</w:t>
      </w:r>
      <w:r w:rsidR="00551633" w:rsidRPr="00551633">
        <w:rPr>
          <w:rFonts w:ascii="Calibri" w:hAnsi="Calibri"/>
          <w:sz w:val="22"/>
          <w:szCs w:val="22"/>
        </w:rPr>
        <w:t>s éventuels</w:t>
      </w:r>
    </w:p>
    <w:p w14:paraId="04F54BE9" w14:textId="62A90703" w:rsidR="0004462C" w:rsidRDefault="0004462C">
      <w:pPr>
        <w:pStyle w:val="Standard"/>
        <w:jc w:val="both"/>
        <w:rPr>
          <w:rFonts w:ascii="Calibri" w:hAnsi="Calibri"/>
          <w:sz w:val="22"/>
          <w:szCs w:val="22"/>
        </w:rPr>
      </w:pPr>
    </w:p>
    <w:p w14:paraId="097EF5FB" w14:textId="77777777" w:rsidR="00FD465F" w:rsidRDefault="00FD465F">
      <w:pPr>
        <w:pStyle w:val="Standard"/>
        <w:jc w:val="both"/>
        <w:rPr>
          <w:rFonts w:ascii="Calibri" w:hAnsi="Calibri"/>
          <w:sz w:val="22"/>
          <w:szCs w:val="22"/>
        </w:rPr>
      </w:pPr>
    </w:p>
    <w:sectPr w:rsidR="00FD465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BDCD" w14:textId="77777777" w:rsidR="0037451E" w:rsidRDefault="0037451E">
      <w:pPr>
        <w:rPr>
          <w:rFonts w:hint="eastAsia"/>
        </w:rPr>
      </w:pPr>
      <w:r>
        <w:separator/>
      </w:r>
    </w:p>
  </w:endnote>
  <w:endnote w:type="continuationSeparator" w:id="0">
    <w:p w14:paraId="66B2A7DC" w14:textId="77777777" w:rsidR="0037451E" w:rsidRDefault="0037451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swiss"/>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Nirmala UI"/>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F8BAA" w14:textId="77777777" w:rsidR="0037451E" w:rsidRDefault="0037451E">
      <w:pPr>
        <w:rPr>
          <w:rFonts w:hint="eastAsia"/>
        </w:rPr>
      </w:pPr>
      <w:r>
        <w:rPr>
          <w:color w:val="000000"/>
        </w:rPr>
        <w:separator/>
      </w:r>
    </w:p>
  </w:footnote>
  <w:footnote w:type="continuationSeparator" w:id="0">
    <w:p w14:paraId="3EA60C6A" w14:textId="77777777" w:rsidR="0037451E" w:rsidRDefault="0037451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9"/>
    <w:multiLevelType w:val="multilevel"/>
    <w:tmpl w:val="0A7EEC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7E4551C"/>
    <w:multiLevelType w:val="hybridMultilevel"/>
    <w:tmpl w:val="938A87C4"/>
    <w:lvl w:ilvl="0" w:tplc="8F5E8174">
      <w:start w:val="1"/>
      <w:numFmt w:val="bullet"/>
      <w:lvlText w:val="-"/>
      <w:lvlJc w:val="left"/>
      <w:pPr>
        <w:ind w:left="1004" w:hanging="360"/>
      </w:pPr>
      <w:rPr>
        <w:rFonts w:ascii="Arial Narrow" w:hAnsi="Arial Narro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DC97E72"/>
    <w:multiLevelType w:val="multilevel"/>
    <w:tmpl w:val="58A4E2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86926EE"/>
    <w:multiLevelType w:val="multilevel"/>
    <w:tmpl w:val="661E1C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E0157A"/>
    <w:multiLevelType w:val="multilevel"/>
    <w:tmpl w:val="602028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E067981"/>
    <w:multiLevelType w:val="hybridMultilevel"/>
    <w:tmpl w:val="40101E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63F7283"/>
    <w:multiLevelType w:val="multilevel"/>
    <w:tmpl w:val="57165AD0"/>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2AC87FB9"/>
    <w:multiLevelType w:val="hybridMultilevel"/>
    <w:tmpl w:val="77F4423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B535020"/>
    <w:multiLevelType w:val="multilevel"/>
    <w:tmpl w:val="5B9493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FD37496"/>
    <w:multiLevelType w:val="multilevel"/>
    <w:tmpl w:val="00260B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96B7F28"/>
    <w:multiLevelType w:val="multilevel"/>
    <w:tmpl w:val="57165AD0"/>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3C943BF7"/>
    <w:multiLevelType w:val="multilevel"/>
    <w:tmpl w:val="57165AD0"/>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4B333871"/>
    <w:multiLevelType w:val="multilevel"/>
    <w:tmpl w:val="1C288D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5470074A"/>
    <w:multiLevelType w:val="hybridMultilevel"/>
    <w:tmpl w:val="47A26B5A"/>
    <w:lvl w:ilvl="0" w:tplc="E8A46E1A">
      <w:numFmt w:val="bullet"/>
      <w:lvlText w:val="-"/>
      <w:lvlJc w:val="left"/>
      <w:pPr>
        <w:ind w:left="644" w:hanging="360"/>
      </w:pPr>
      <w:rPr>
        <w:rFonts w:ascii="Calibri" w:eastAsia="NSimSu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553172E4"/>
    <w:multiLevelType w:val="multilevel"/>
    <w:tmpl w:val="A85C5B96"/>
    <w:lvl w:ilvl="0">
      <w:start w:val="1"/>
      <w:numFmt w:val="decimal"/>
      <w:lvlText w:val="%1."/>
      <w:lvlJc w:val="left"/>
      <w:pPr>
        <w:ind w:left="720" w:hanging="360"/>
      </w:pPr>
      <w:rPr>
        <w:rFonts w:ascii="Calibri" w:hAnsi="Calibr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1676B3"/>
    <w:multiLevelType w:val="hybridMultilevel"/>
    <w:tmpl w:val="1174E158"/>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15:restartNumberingAfterBreak="0">
    <w:nsid w:val="783A0829"/>
    <w:multiLevelType w:val="hybridMultilevel"/>
    <w:tmpl w:val="8F0C6B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E0C7319"/>
    <w:multiLevelType w:val="hybridMultilevel"/>
    <w:tmpl w:val="9DF662FC"/>
    <w:lvl w:ilvl="0" w:tplc="9A182084">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781147360">
    <w:abstractNumId w:val="3"/>
  </w:num>
  <w:num w:numId="2" w16cid:durableId="541015754">
    <w:abstractNumId w:val="9"/>
  </w:num>
  <w:num w:numId="3" w16cid:durableId="1880168559">
    <w:abstractNumId w:val="12"/>
  </w:num>
  <w:num w:numId="4" w16cid:durableId="464852585">
    <w:abstractNumId w:val="8"/>
  </w:num>
  <w:num w:numId="5" w16cid:durableId="12609397">
    <w:abstractNumId w:val="2"/>
  </w:num>
  <w:num w:numId="6" w16cid:durableId="380062700">
    <w:abstractNumId w:val="0"/>
  </w:num>
  <w:num w:numId="7" w16cid:durableId="2145535530">
    <w:abstractNumId w:val="4"/>
  </w:num>
  <w:num w:numId="8" w16cid:durableId="133913105">
    <w:abstractNumId w:val="14"/>
  </w:num>
  <w:num w:numId="9" w16cid:durableId="367872548">
    <w:abstractNumId w:val="17"/>
  </w:num>
  <w:num w:numId="10" w16cid:durableId="1382678997">
    <w:abstractNumId w:val="13"/>
  </w:num>
  <w:num w:numId="11" w16cid:durableId="1234462194">
    <w:abstractNumId w:val="1"/>
  </w:num>
  <w:num w:numId="12" w16cid:durableId="1115104338">
    <w:abstractNumId w:val="5"/>
  </w:num>
  <w:num w:numId="13" w16cid:durableId="798572231">
    <w:abstractNumId w:val="11"/>
  </w:num>
  <w:num w:numId="14" w16cid:durableId="1122071757">
    <w:abstractNumId w:val="6"/>
  </w:num>
  <w:num w:numId="15" w16cid:durableId="1039663331">
    <w:abstractNumId w:val="10"/>
  </w:num>
  <w:num w:numId="16" w16cid:durableId="47845996">
    <w:abstractNumId w:val="16"/>
  </w:num>
  <w:num w:numId="17" w16cid:durableId="1981500365">
    <w:abstractNumId w:val="7"/>
  </w:num>
  <w:num w:numId="18" w16cid:durableId="18077704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62C"/>
    <w:rsid w:val="00011C2C"/>
    <w:rsid w:val="0004462C"/>
    <w:rsid w:val="00081831"/>
    <w:rsid w:val="0037451E"/>
    <w:rsid w:val="003A359A"/>
    <w:rsid w:val="00462C32"/>
    <w:rsid w:val="00462FF4"/>
    <w:rsid w:val="00495130"/>
    <w:rsid w:val="004B44F4"/>
    <w:rsid w:val="00551633"/>
    <w:rsid w:val="005A63B4"/>
    <w:rsid w:val="006D59D2"/>
    <w:rsid w:val="00712813"/>
    <w:rsid w:val="00817ECA"/>
    <w:rsid w:val="00835C15"/>
    <w:rsid w:val="00910C91"/>
    <w:rsid w:val="00980A15"/>
    <w:rsid w:val="009F5930"/>
    <w:rsid w:val="00E841CC"/>
    <w:rsid w:val="00EC2291"/>
    <w:rsid w:val="00EC3648"/>
    <w:rsid w:val="00EE1224"/>
    <w:rsid w:val="00FD46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54B6B"/>
  <w15:docId w15:val="{E9AB53BF-C231-4F61-BBFA-811F1BBA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paragraph" w:customStyle="1" w:styleId="Framecontents">
    <w:name w:val="Frame contents"/>
    <w:basedOn w:val="Standard"/>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character" w:styleId="Appelnotedebasdep">
    <w:name w:val="footnote reference"/>
    <w:basedOn w:val="Policepardfaut"/>
    <w:rPr>
      <w:position w:val="0"/>
      <w:vertAlign w:val="superscript"/>
    </w:rPr>
  </w:style>
  <w:style w:type="paragraph" w:styleId="Commentaire">
    <w:name w:val="annotation text"/>
    <w:basedOn w:val="Normal"/>
    <w:rPr>
      <w:rFonts w:cs="Mangal"/>
      <w:sz w:val="20"/>
      <w:szCs w:val="18"/>
    </w:rPr>
  </w:style>
  <w:style w:type="character" w:customStyle="1" w:styleId="CommentaireCar">
    <w:name w:val="Commentaire Car"/>
    <w:basedOn w:val="Policepardfaut"/>
    <w:rPr>
      <w:rFonts w:cs="Mangal"/>
      <w:sz w:val="20"/>
      <w:szCs w:val="18"/>
    </w:rPr>
  </w:style>
  <w:style w:type="character" w:styleId="Marquedecommentaire">
    <w:name w:val="annotation reference"/>
    <w:basedOn w:val="Policepardfaut"/>
    <w:rPr>
      <w:sz w:val="16"/>
      <w:szCs w:val="16"/>
    </w:rPr>
  </w:style>
  <w:style w:type="paragraph" w:styleId="Rvision">
    <w:name w:val="Revision"/>
    <w:pPr>
      <w:textAlignment w:val="auto"/>
    </w:pPr>
    <w:rPr>
      <w:rFonts w:cs="Mangal"/>
      <w:szCs w:val="21"/>
    </w:rPr>
  </w:style>
  <w:style w:type="paragraph" w:styleId="Objetducommentaire">
    <w:name w:val="annotation subject"/>
    <w:basedOn w:val="Commentaire"/>
    <w:next w:val="Commentaire"/>
    <w:rPr>
      <w:b/>
      <w:bCs/>
    </w:rPr>
  </w:style>
  <w:style w:type="character" w:customStyle="1" w:styleId="ObjetducommentaireCar">
    <w:name w:val="Objet du commentaire Car"/>
    <w:basedOn w:val="CommentaireCar"/>
    <w:rPr>
      <w:rFonts w:cs="Mangal"/>
      <w:b/>
      <w:bCs/>
      <w:sz w:val="20"/>
      <w:szCs w:val="18"/>
    </w:rPr>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character" w:styleId="Lienhypertextesuivivisit">
    <w:name w:val="FollowedHyperlink"/>
    <w:basedOn w:val="Policepardfaut"/>
    <w:rPr>
      <w:color w:val="954F72"/>
      <w:u w:val="single"/>
    </w:rPr>
  </w:style>
  <w:style w:type="paragraph" w:styleId="En-tte">
    <w:name w:val="header"/>
    <w:basedOn w:val="Normal"/>
    <w:link w:val="En-tteCar"/>
    <w:uiPriority w:val="99"/>
    <w:unhideWhenUsed/>
    <w:rsid w:val="00EC2291"/>
    <w:pPr>
      <w:tabs>
        <w:tab w:val="center" w:pos="4536"/>
        <w:tab w:val="right" w:pos="9072"/>
      </w:tabs>
    </w:pPr>
    <w:rPr>
      <w:rFonts w:cs="Mangal"/>
      <w:szCs w:val="21"/>
    </w:rPr>
  </w:style>
  <w:style w:type="character" w:customStyle="1" w:styleId="En-tteCar">
    <w:name w:val="En-tête Car"/>
    <w:basedOn w:val="Policepardfaut"/>
    <w:link w:val="En-tte"/>
    <w:uiPriority w:val="99"/>
    <w:rsid w:val="00EC2291"/>
    <w:rPr>
      <w:rFonts w:cs="Mangal"/>
      <w:szCs w:val="21"/>
    </w:rPr>
  </w:style>
  <w:style w:type="paragraph" w:styleId="Pieddepage">
    <w:name w:val="footer"/>
    <w:basedOn w:val="Normal"/>
    <w:link w:val="PieddepageCar"/>
    <w:uiPriority w:val="99"/>
    <w:unhideWhenUsed/>
    <w:rsid w:val="00EC2291"/>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EC2291"/>
    <w:rPr>
      <w:rFonts w:cs="Mangal"/>
      <w:szCs w:val="21"/>
    </w:rPr>
  </w:style>
  <w:style w:type="paragraph" w:styleId="Notedebasdepage">
    <w:name w:val="footnote text"/>
    <w:basedOn w:val="Normal"/>
    <w:link w:val="NotedebasdepageCar"/>
    <w:uiPriority w:val="99"/>
    <w:semiHidden/>
    <w:unhideWhenUsed/>
    <w:rsid w:val="00FD465F"/>
    <w:rPr>
      <w:rFonts w:cs="Mangal"/>
      <w:sz w:val="20"/>
      <w:szCs w:val="18"/>
    </w:rPr>
  </w:style>
  <w:style w:type="character" w:customStyle="1" w:styleId="NotedebasdepageCar">
    <w:name w:val="Note de bas de page Car"/>
    <w:basedOn w:val="Policepardfaut"/>
    <w:link w:val="Notedebasdepage"/>
    <w:uiPriority w:val="99"/>
    <w:semiHidden/>
    <w:rsid w:val="00FD465F"/>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852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metropolegrandparis.fr/fr/economie-circulaire-6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rec-idf.fr/nos-reseaux/communaute-des-territoires-circulaire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iledefrance.fr/economie-circulaire-la-strategie-regionale-2020-203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seau-synapse.org/community/pg/groups/19996/reseau-eit-en-ile-de-france/" TargetMode="External"/><Relationship Id="rId20" Type="http://schemas.openxmlformats.org/officeDocument/2006/relationships/hyperlink" Target="https://www.arec-idf.fr/nos-reseaux/communaute-des-territoires-circulai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agirpourlatransition.ademe.fr/" TargetMode="External"/><Relationship Id="rId5" Type="http://schemas.openxmlformats.org/officeDocument/2006/relationships/webSettings" Target="webSettings.xml"/><Relationship Id="rId15" Type="http://schemas.openxmlformats.org/officeDocument/2006/relationships/hyperlink" Target="https://ile-de-france.ademe.fr/sites/default/files/cp-ami-eit-laureats.pdf" TargetMode="External"/><Relationship Id="rId23" Type="http://schemas.openxmlformats.org/officeDocument/2006/relationships/hyperlink" Target="https://www.reseau-synapse.org" TargetMode="External"/><Relationship Id="rId10" Type="http://schemas.openxmlformats.org/officeDocument/2006/relationships/image" Target="media/image3.png"/><Relationship Id="rId19" Type="http://schemas.openxmlformats.org/officeDocument/2006/relationships/hyperlink" Target="https://www.syctom-paris.fr/accompagnement-des-collectivites/le-plan-daccompagnement-aux-collectivites-2021-2026.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girpourlatransition.ademe.fr/" TargetMode="External"/><Relationship Id="rId22"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A863D-BACF-4795-9EEF-E8E1D6E7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2208</Words>
  <Characters>12148</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Deboutière</dc:creator>
  <cp:lastModifiedBy>FAUVEAU Grégory</cp:lastModifiedBy>
  <cp:revision>2</cp:revision>
  <cp:lastPrinted>2023-02-13T15:22:00Z</cp:lastPrinted>
  <dcterms:created xsi:type="dcterms:W3CDTF">2023-02-13T15:24:00Z</dcterms:created>
  <dcterms:modified xsi:type="dcterms:W3CDTF">2023-02-13T15:24:00Z</dcterms:modified>
</cp:coreProperties>
</file>