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487D0FA7" w:rsidR="00F75D7A" w:rsidRPr="00602D9D" w:rsidRDefault="00F75D7A" w:rsidP="00F75D7A">
      <w:pPr>
        <w:spacing w:after="0"/>
        <w:rPr>
          <w:rFonts w:ascii="Marianne" w:hAnsi="Marianne"/>
          <w:color w:val="538135" w:themeColor="accent6" w:themeShade="BF"/>
        </w:rPr>
      </w:pPr>
    </w:p>
    <w:p w14:paraId="5124224A" w14:textId="1DF91612" w:rsidR="00D158E9" w:rsidRDefault="00F0602B">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30A013AB">
                <wp:simplePos x="0" y="0"/>
                <wp:positionH relativeFrom="margin">
                  <wp:posOffset>109220</wp:posOffset>
                </wp:positionH>
                <wp:positionV relativeFrom="paragraph">
                  <wp:posOffset>2173606</wp:posOffset>
                </wp:positionV>
                <wp:extent cx="5965825" cy="60261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965825" cy="6026150"/>
                        </a:xfrm>
                        <a:prstGeom prst="rect">
                          <a:avLst/>
                        </a:prstGeom>
                        <a:solidFill>
                          <a:schemeClr val="lt1"/>
                        </a:solidFill>
                        <a:ln w="6350">
                          <a:noFill/>
                        </a:ln>
                      </wps:spPr>
                      <wps:txbx>
                        <w:txbxContent>
                          <w:p w14:paraId="70FF7B72" w14:textId="79A03283" w:rsidR="00D158E9" w:rsidRPr="00F0602B" w:rsidRDefault="00F0602B" w:rsidP="0019339A">
                            <w:pPr>
                              <w:pStyle w:val="Titre1"/>
                              <w:numPr>
                                <w:ilvl w:val="0"/>
                                <w:numId w:val="0"/>
                              </w:numPr>
                              <w:pBdr>
                                <w:bottom w:val="none" w:sz="0" w:space="0" w:color="auto"/>
                              </w:pBdr>
                              <w:spacing w:before="360" w:after="360"/>
                              <w:ind w:left="357"/>
                              <w:rPr>
                                <w:b w:val="0"/>
                                <w:bCs/>
                                <w:color w:val="auto"/>
                                <w:sz w:val="18"/>
                                <w:szCs w:val="18"/>
                                <w:u w:val="single"/>
                              </w:rPr>
                            </w:pPr>
                            <w:r w:rsidRPr="00F0602B">
                              <w:rPr>
                                <w:b w:val="0"/>
                                <w:bCs/>
                                <w:caps w:val="0"/>
                                <w:color w:val="auto"/>
                                <w:u w:val="single"/>
                              </w:rPr>
                              <w:t xml:space="preserve">Ce qu’il faut retenir </w:t>
                            </w:r>
                          </w:p>
                          <w:p w14:paraId="142FC046" w14:textId="2BC3BDBE" w:rsidR="00D158E9" w:rsidRPr="00F0602B" w:rsidRDefault="00D158E9" w:rsidP="00F0602B">
                            <w:pPr>
                              <w:pStyle w:val="TexteCourant"/>
                              <w:rPr>
                                <w:b/>
                                <w:bCs/>
                              </w:rPr>
                            </w:pPr>
                            <w:r w:rsidRPr="00F0602B">
                              <w:rPr>
                                <w:b/>
                                <w:bCs/>
                              </w:rPr>
                              <w:t xml:space="preserve"> Opérations éligibles</w:t>
                            </w:r>
                          </w:p>
                          <w:p w14:paraId="376C687E" w14:textId="6EFED9C1" w:rsidR="002B0351" w:rsidRPr="00F44CD5" w:rsidRDefault="002B0351" w:rsidP="00F0602B">
                            <w:pPr>
                              <w:pStyle w:val="Pucenoir"/>
                            </w:pPr>
                            <w:r w:rsidRPr="00F44CD5">
                              <w:t>Études préalables à la mise en œuvre ou à l’extension à un nouveau périmètre de la tarification incitative.</w:t>
                            </w:r>
                          </w:p>
                          <w:p w14:paraId="0F52DF05" w14:textId="61E33DA0" w:rsidR="00692311" w:rsidRDefault="002B0351" w:rsidP="00F0602B">
                            <w:pPr>
                              <w:pStyle w:val="Pucenoir"/>
                            </w:pPr>
                            <w:r w:rsidRPr="00F44CD5">
                              <w:t>Études liées à la refonte d’une tarification existante.</w:t>
                            </w:r>
                          </w:p>
                          <w:p w14:paraId="399DDD6C" w14:textId="1FCDEB49" w:rsidR="009C6D7A" w:rsidRPr="00F44CD5" w:rsidRDefault="00A90F7F" w:rsidP="00F0602B">
                            <w:pPr>
                              <w:pStyle w:val="Pucenoir"/>
                            </w:pPr>
                            <w:r w:rsidRPr="00F44CD5">
                              <w:t>Études préalables à la mise en œuvre ou à l’extension</w:t>
                            </w:r>
                            <w:r>
                              <w:t xml:space="preserve"> de la redevance spéciale</w:t>
                            </w:r>
                          </w:p>
                          <w:p w14:paraId="31EDC0D1" w14:textId="77777777" w:rsidR="00D158E9" w:rsidRPr="00F0602B" w:rsidRDefault="00D158E9" w:rsidP="00F0602B">
                            <w:pPr>
                              <w:pStyle w:val="TexteCourant"/>
                              <w:rPr>
                                <w:b/>
                                <w:bCs/>
                              </w:rPr>
                            </w:pPr>
                            <w:r w:rsidRPr="00F0602B">
                              <w:rPr>
                                <w:b/>
                                <w:bCs/>
                              </w:rPr>
                              <w:t>Conditions d’éligibilité</w:t>
                            </w:r>
                          </w:p>
                          <w:p w14:paraId="6E7CA547" w14:textId="067B95D9" w:rsidR="002B0351" w:rsidRPr="00F44CD5" w:rsidRDefault="002B0351" w:rsidP="00F0602B">
                            <w:pPr>
                              <w:pStyle w:val="Pucenoir"/>
                            </w:pPr>
                            <w:r w:rsidRPr="00F44CD5">
                              <w:t>Maitrise d’ouvrage de l’étude par une collectivité compétente en matière de collecte des déchets.</w:t>
                            </w:r>
                          </w:p>
                          <w:p w14:paraId="3EDD7A8C" w14:textId="2F2425C7" w:rsidR="002B0351" w:rsidRPr="00F44CD5" w:rsidRDefault="002B0351" w:rsidP="00F0602B">
                            <w:pPr>
                              <w:pStyle w:val="Pucenoir"/>
                            </w:pPr>
                            <w:r w:rsidRPr="00F44CD5">
                              <w:t>Etude réalisée par un bureau d’étude tiers, sur la base du cahier des charges de l’ADEME</w:t>
                            </w:r>
                          </w:p>
                          <w:p w14:paraId="02D2B214" w14:textId="1CA154F7" w:rsidR="00D158E9" w:rsidRPr="00F44CD5" w:rsidRDefault="002B0351" w:rsidP="00F0602B">
                            <w:pPr>
                              <w:pStyle w:val="Pucenoir"/>
                            </w:pPr>
                            <w:r w:rsidRPr="00F44CD5">
                              <w:t xml:space="preserve">Etude ne doit pas avoir commencé </w:t>
                            </w:r>
                            <w:proofErr w:type="gramStart"/>
                            <w:r w:rsidRPr="00F44CD5">
                              <w:t>ou</w:t>
                            </w:r>
                            <w:proofErr w:type="gramEnd"/>
                            <w:r w:rsidRPr="00F44CD5">
                              <w:t xml:space="preserve"> être commandée</w:t>
                            </w:r>
                          </w:p>
                          <w:p w14:paraId="27B8A71F" w14:textId="77777777" w:rsidR="002B0351" w:rsidRPr="00F44CD5" w:rsidRDefault="002B0351" w:rsidP="00D158E9">
                            <w:pPr>
                              <w:spacing w:after="0"/>
                              <w:rPr>
                                <w:rFonts w:ascii="Marianne Light" w:hAnsi="Marianne Light"/>
                                <w:sz w:val="18"/>
                                <w:szCs w:val="18"/>
                              </w:rPr>
                            </w:pPr>
                          </w:p>
                          <w:p w14:paraId="5CB44E47" w14:textId="77777777" w:rsidR="00D158E9" w:rsidRPr="00F0602B" w:rsidRDefault="00D158E9" w:rsidP="00F0602B">
                            <w:pPr>
                              <w:pStyle w:val="TexteCourant"/>
                              <w:rPr>
                                <w:b/>
                                <w:bCs/>
                              </w:rPr>
                            </w:pPr>
                            <w:r w:rsidRPr="00F0602B">
                              <w:rPr>
                                <w:b/>
                                <w:bCs/>
                              </w:rPr>
                              <w:t>Modalités de calcul de l’aide</w:t>
                            </w:r>
                          </w:p>
                          <w:p w14:paraId="1769E344" w14:textId="2E72A35D" w:rsidR="00446530" w:rsidRPr="00F44CD5" w:rsidRDefault="00446530" w:rsidP="00F0602B">
                            <w:pPr>
                              <w:pStyle w:val="Pucenoir"/>
                            </w:pPr>
                            <w:r w:rsidRPr="00F44CD5">
                              <w:t xml:space="preserve">Taux d’aide maximum : </w:t>
                            </w:r>
                            <w:r w:rsidR="00BD709C">
                              <w:t>8</w:t>
                            </w:r>
                            <w:r w:rsidRPr="00F44CD5">
                              <w:t>0 % des dépenses éligibles</w:t>
                            </w:r>
                          </w:p>
                          <w:p w14:paraId="544053D6" w14:textId="77777777" w:rsidR="00446530" w:rsidRPr="00F44CD5" w:rsidRDefault="00446530" w:rsidP="00F0602B">
                            <w:pPr>
                              <w:pStyle w:val="Pucenoir"/>
                              <w:spacing w:after="0"/>
                            </w:pPr>
                            <w:r w:rsidRPr="00F44CD5">
                              <w:t>Appliqué à une assiette de dépenses éligibles plafonnées comme suit :</w:t>
                            </w:r>
                          </w:p>
                          <w:p w14:paraId="360A90B5" w14:textId="77777777" w:rsidR="00446530" w:rsidRPr="00F0602B" w:rsidRDefault="00446530" w:rsidP="00F0602B">
                            <w:pPr>
                              <w:pStyle w:val="pucerondes"/>
                            </w:pPr>
                            <w:r w:rsidRPr="00F0602B">
                              <w:t>100</w:t>
                            </w:r>
                            <w:r w:rsidRPr="00F0602B">
                              <w:rPr>
                                <w:rFonts w:ascii="Calibri" w:hAnsi="Calibri" w:cs="Calibri"/>
                              </w:rPr>
                              <w:t> </w:t>
                            </w:r>
                            <w:r w:rsidRPr="00F0602B">
                              <w:t>000</w:t>
                            </w:r>
                            <w:r w:rsidRPr="00F0602B">
                              <w:rPr>
                                <w:rFonts w:ascii="Calibri" w:hAnsi="Calibri" w:cs="Calibri"/>
                              </w:rPr>
                              <w:t> </w:t>
                            </w:r>
                            <w:r w:rsidRPr="00F0602B">
                              <w:rPr>
                                <w:rFonts w:cs="Marianne Light"/>
                              </w:rPr>
                              <w:t>€</w:t>
                            </w:r>
                            <w:r w:rsidRPr="00F0602B">
                              <w:t xml:space="preserve"> pour les </w:t>
                            </w:r>
                            <w:r w:rsidRPr="00F0602B">
                              <w:rPr>
                                <w:rFonts w:cs="Marianne Light"/>
                              </w:rPr>
                              <w:t>é</w:t>
                            </w:r>
                            <w:r w:rsidRPr="00F0602B">
                              <w:t>tudes d'accompagnement de projet (faisabilit</w:t>
                            </w:r>
                            <w:r w:rsidRPr="00F0602B">
                              <w:rPr>
                                <w:rFonts w:cs="Marianne Light"/>
                              </w:rPr>
                              <w:t>é</w:t>
                            </w:r>
                            <w:r w:rsidRPr="00F0602B">
                              <w:t>).</w:t>
                            </w:r>
                          </w:p>
                          <w:p w14:paraId="0B0EE0BF" w14:textId="24E59AA1" w:rsidR="00D158E9" w:rsidRPr="00F1171A" w:rsidRDefault="00D158E9" w:rsidP="00446530">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8.6pt;margin-top:171.15pt;width:469.75pt;height:4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" fillcolor="white [3201]" stroked="f" strokeweight=".5pt">
                <v:textbox>
                  <w:txbxContent>
                    <w:p w14:paraId="70FF7B72" w14:textId="79A03283" w:rsidR="00D158E9" w:rsidRPr="00F0602B" w:rsidRDefault="00F0602B" w:rsidP="0019339A">
                      <w:pPr>
                        <w:pStyle w:val="Titre1"/>
                        <w:numPr>
                          <w:ilvl w:val="0"/>
                          <w:numId w:val="0"/>
                        </w:numPr>
                        <w:pBdr>
                          <w:bottom w:val="none" w:sz="0" w:space="0" w:color="auto"/>
                        </w:pBdr>
                        <w:spacing w:before="360" w:after="360"/>
                        <w:ind w:left="357"/>
                        <w:rPr>
                          <w:b w:val="0"/>
                          <w:bCs/>
                          <w:color w:val="auto"/>
                          <w:sz w:val="18"/>
                          <w:szCs w:val="18"/>
                          <w:u w:val="single"/>
                        </w:rPr>
                      </w:pPr>
                      <w:r w:rsidRPr="00F0602B">
                        <w:rPr>
                          <w:b w:val="0"/>
                          <w:bCs/>
                          <w:caps w:val="0"/>
                          <w:color w:val="auto"/>
                          <w:u w:val="single"/>
                        </w:rPr>
                        <w:t xml:space="preserve">Ce qu’il faut retenir </w:t>
                      </w:r>
                    </w:p>
                    <w:p w14:paraId="142FC046" w14:textId="2BC3BDBE" w:rsidR="00D158E9" w:rsidRPr="00F0602B" w:rsidRDefault="00D158E9" w:rsidP="00F0602B">
                      <w:pPr>
                        <w:pStyle w:val="TexteCourant"/>
                        <w:rPr>
                          <w:b/>
                          <w:bCs/>
                        </w:rPr>
                      </w:pPr>
                      <w:r w:rsidRPr="00F0602B">
                        <w:rPr>
                          <w:b/>
                          <w:bCs/>
                        </w:rPr>
                        <w:t xml:space="preserve"> Opérations éligibles</w:t>
                      </w:r>
                    </w:p>
                    <w:p w14:paraId="376C687E" w14:textId="6EFED9C1" w:rsidR="002B0351" w:rsidRPr="00F44CD5" w:rsidRDefault="002B0351" w:rsidP="00F0602B">
                      <w:pPr>
                        <w:pStyle w:val="Pucenoir"/>
                      </w:pPr>
                      <w:r w:rsidRPr="00F44CD5">
                        <w:t>Études préalables à la mise en œuvre ou à l’extension à un nouveau périmètre de la tarification incitative.</w:t>
                      </w:r>
                    </w:p>
                    <w:p w14:paraId="0F52DF05" w14:textId="61E33DA0" w:rsidR="00692311" w:rsidRDefault="002B0351" w:rsidP="00F0602B">
                      <w:pPr>
                        <w:pStyle w:val="Pucenoir"/>
                      </w:pPr>
                      <w:r w:rsidRPr="00F44CD5">
                        <w:t>Études liées à la refonte d’une tarification existante.</w:t>
                      </w:r>
                    </w:p>
                    <w:p w14:paraId="399DDD6C" w14:textId="1FCDEB49" w:rsidR="009C6D7A" w:rsidRPr="00F44CD5" w:rsidRDefault="00A90F7F" w:rsidP="00F0602B">
                      <w:pPr>
                        <w:pStyle w:val="Pucenoir"/>
                      </w:pPr>
                      <w:r w:rsidRPr="00F44CD5">
                        <w:t>Études préalables à la mise en œuvre ou à l’extension</w:t>
                      </w:r>
                      <w:r>
                        <w:t xml:space="preserve"> de la redevance spéciale</w:t>
                      </w:r>
                    </w:p>
                    <w:p w14:paraId="31EDC0D1" w14:textId="77777777" w:rsidR="00D158E9" w:rsidRPr="00F0602B" w:rsidRDefault="00D158E9" w:rsidP="00F0602B">
                      <w:pPr>
                        <w:pStyle w:val="TexteCourant"/>
                        <w:rPr>
                          <w:b/>
                          <w:bCs/>
                        </w:rPr>
                      </w:pPr>
                      <w:r w:rsidRPr="00F0602B">
                        <w:rPr>
                          <w:b/>
                          <w:bCs/>
                        </w:rPr>
                        <w:t>Conditions d’éligibilité</w:t>
                      </w:r>
                    </w:p>
                    <w:p w14:paraId="6E7CA547" w14:textId="067B95D9" w:rsidR="002B0351" w:rsidRPr="00F44CD5" w:rsidRDefault="002B0351" w:rsidP="00F0602B">
                      <w:pPr>
                        <w:pStyle w:val="Pucenoir"/>
                      </w:pPr>
                      <w:r w:rsidRPr="00F44CD5">
                        <w:t>Maitrise d’ouvrage de l’étude par une collectivité compétente en matière de collecte des déchets.</w:t>
                      </w:r>
                    </w:p>
                    <w:p w14:paraId="3EDD7A8C" w14:textId="2F2425C7" w:rsidR="002B0351" w:rsidRPr="00F44CD5" w:rsidRDefault="002B0351" w:rsidP="00F0602B">
                      <w:pPr>
                        <w:pStyle w:val="Pucenoir"/>
                      </w:pPr>
                      <w:r w:rsidRPr="00F44CD5">
                        <w:t>Etude réalisée par un bureau d’étude tiers, sur la base du cahier des charges de l’ADEME</w:t>
                      </w:r>
                    </w:p>
                    <w:p w14:paraId="02D2B214" w14:textId="1CA154F7" w:rsidR="00D158E9" w:rsidRPr="00F44CD5" w:rsidRDefault="002B0351" w:rsidP="00F0602B">
                      <w:pPr>
                        <w:pStyle w:val="Pucenoir"/>
                      </w:pPr>
                      <w:r w:rsidRPr="00F44CD5">
                        <w:t xml:space="preserve">Etude ne doit pas avoir commencé </w:t>
                      </w:r>
                      <w:proofErr w:type="gramStart"/>
                      <w:r w:rsidRPr="00F44CD5">
                        <w:t>ou</w:t>
                      </w:r>
                      <w:proofErr w:type="gramEnd"/>
                      <w:r w:rsidRPr="00F44CD5">
                        <w:t xml:space="preserve"> être commandée</w:t>
                      </w:r>
                    </w:p>
                    <w:p w14:paraId="27B8A71F" w14:textId="77777777" w:rsidR="002B0351" w:rsidRPr="00F44CD5" w:rsidRDefault="002B0351" w:rsidP="00D158E9">
                      <w:pPr>
                        <w:spacing w:after="0"/>
                        <w:rPr>
                          <w:rFonts w:ascii="Marianne Light" w:hAnsi="Marianne Light"/>
                          <w:sz w:val="18"/>
                          <w:szCs w:val="18"/>
                        </w:rPr>
                      </w:pPr>
                    </w:p>
                    <w:p w14:paraId="5CB44E47" w14:textId="77777777" w:rsidR="00D158E9" w:rsidRPr="00F0602B" w:rsidRDefault="00D158E9" w:rsidP="00F0602B">
                      <w:pPr>
                        <w:pStyle w:val="TexteCourant"/>
                        <w:rPr>
                          <w:b/>
                          <w:bCs/>
                        </w:rPr>
                      </w:pPr>
                      <w:r w:rsidRPr="00F0602B">
                        <w:rPr>
                          <w:b/>
                          <w:bCs/>
                        </w:rPr>
                        <w:t>Modalités de calcul de l’aide</w:t>
                      </w:r>
                    </w:p>
                    <w:p w14:paraId="1769E344" w14:textId="2E72A35D" w:rsidR="00446530" w:rsidRPr="00F44CD5" w:rsidRDefault="00446530" w:rsidP="00F0602B">
                      <w:pPr>
                        <w:pStyle w:val="Pucenoir"/>
                      </w:pPr>
                      <w:r w:rsidRPr="00F44CD5">
                        <w:t xml:space="preserve">Taux d’aide maximum : </w:t>
                      </w:r>
                      <w:r w:rsidR="00BD709C">
                        <w:t>8</w:t>
                      </w:r>
                      <w:r w:rsidRPr="00F44CD5">
                        <w:t>0 % des dépenses éligibles</w:t>
                      </w:r>
                    </w:p>
                    <w:p w14:paraId="544053D6" w14:textId="77777777" w:rsidR="00446530" w:rsidRPr="00F44CD5" w:rsidRDefault="00446530" w:rsidP="00F0602B">
                      <w:pPr>
                        <w:pStyle w:val="Pucenoir"/>
                        <w:spacing w:after="0"/>
                      </w:pPr>
                      <w:r w:rsidRPr="00F44CD5">
                        <w:t>Appliqué à une assiette de dépenses éligibles plafonnées comme suit :</w:t>
                      </w:r>
                    </w:p>
                    <w:p w14:paraId="360A90B5" w14:textId="77777777" w:rsidR="00446530" w:rsidRPr="00F0602B" w:rsidRDefault="00446530" w:rsidP="00F0602B">
                      <w:pPr>
                        <w:pStyle w:val="pucerondes"/>
                      </w:pPr>
                      <w:r w:rsidRPr="00F0602B">
                        <w:t>100</w:t>
                      </w:r>
                      <w:r w:rsidRPr="00F0602B">
                        <w:rPr>
                          <w:rFonts w:ascii="Calibri" w:hAnsi="Calibri" w:cs="Calibri"/>
                        </w:rPr>
                        <w:t> </w:t>
                      </w:r>
                      <w:r w:rsidRPr="00F0602B">
                        <w:t>000</w:t>
                      </w:r>
                      <w:r w:rsidRPr="00F0602B">
                        <w:rPr>
                          <w:rFonts w:ascii="Calibri" w:hAnsi="Calibri" w:cs="Calibri"/>
                        </w:rPr>
                        <w:t> </w:t>
                      </w:r>
                      <w:r w:rsidRPr="00F0602B">
                        <w:rPr>
                          <w:rFonts w:cs="Marianne Light"/>
                        </w:rPr>
                        <w:t>€</w:t>
                      </w:r>
                      <w:r w:rsidRPr="00F0602B">
                        <w:t xml:space="preserve"> pour les </w:t>
                      </w:r>
                      <w:r w:rsidRPr="00F0602B">
                        <w:rPr>
                          <w:rFonts w:cs="Marianne Light"/>
                        </w:rPr>
                        <w:t>é</w:t>
                      </w:r>
                      <w:r w:rsidRPr="00F0602B">
                        <w:t>tudes d'accompagnement de projet (faisabilit</w:t>
                      </w:r>
                      <w:r w:rsidRPr="00F0602B">
                        <w:rPr>
                          <w:rFonts w:cs="Marianne Light"/>
                        </w:rPr>
                        <w:t>é</w:t>
                      </w:r>
                      <w:r w:rsidRPr="00F0602B">
                        <w:t>).</w:t>
                      </w:r>
                    </w:p>
                    <w:p w14:paraId="0B0EE0BF" w14:textId="24E59AA1" w:rsidR="00D158E9" w:rsidRPr="00F1171A" w:rsidRDefault="00D158E9" w:rsidP="00446530">
                      <w:pPr>
                        <w:pStyle w:val="Pucenoir"/>
                        <w:numPr>
                          <w:ilvl w:val="0"/>
                          <w:numId w:val="0"/>
                        </w:numPr>
                        <w:ind w:left="360"/>
                      </w:pPr>
                    </w:p>
                  </w:txbxContent>
                </v:textbox>
                <w10:wrap anchorx="margin"/>
              </v:shape>
            </w:pict>
          </mc:Fallback>
        </mc:AlternateContent>
      </w: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42BEF1CA">
                <wp:simplePos x="0" y="0"/>
                <wp:positionH relativeFrom="margin">
                  <wp:posOffset>90170</wp:posOffset>
                </wp:positionH>
                <wp:positionV relativeFrom="paragraph">
                  <wp:posOffset>630555</wp:posOffset>
                </wp:positionV>
                <wp:extent cx="5908675" cy="1419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4192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1F8B2789" w:rsidR="00930297" w:rsidRPr="002C1672" w:rsidRDefault="002B0351" w:rsidP="00D158E9">
                            <w:pPr>
                              <w:pStyle w:val="SOUS-TITREPRINCIPAL1repage"/>
                            </w:pPr>
                            <w:r w:rsidRPr="002B0351">
                              <w:t>E</w:t>
                            </w:r>
                            <w:r>
                              <w:t>tudes préparatoires à la mise en œuvre de la tarification incitative du service public Déchets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7.1pt;margin-top:49.65pt;width:465.25pt;height:11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" adj="-11796480,,5400" path="m,l3136900,,2838450,786765,,786765,,xe" fillcolor="white [3212]" stroked="f">
                <v:stroke joinstyle="miter"/>
                <v:formulas/>
                <v:path arrowok="t" o:connecttype="custom" o:connectlocs="0,0;5908675,0;5346514,1419225;0,141922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3ACEE8FE" w14:textId="1F8B2789" w:rsidR="00930297" w:rsidRPr="002C1672" w:rsidRDefault="002B0351" w:rsidP="00D158E9">
                      <w:pPr>
                        <w:pStyle w:val="SOUS-TITREPRINCIPAL1repage"/>
                      </w:pPr>
                      <w:r w:rsidRPr="002B0351">
                        <w:t>E</w:t>
                      </w:r>
                      <w:r>
                        <w:t>tudes préparatoires à la mise en œuvre de la tarification incitative du service public Déchets</w:t>
                      </w: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F0602B">
      <w:pPr>
        <w:pStyle w:val="Titre1"/>
      </w:pPr>
      <w:r w:rsidRPr="00F0602B">
        <w:lastRenderedPageBreak/>
        <w:t>Contexte</w:t>
      </w:r>
    </w:p>
    <w:p w14:paraId="6F61DF74" w14:textId="77777777" w:rsidR="00326DE8" w:rsidRPr="00F44CD5" w:rsidRDefault="00326DE8" w:rsidP="00F0602B">
      <w:pPr>
        <w:pStyle w:val="TexteCourant"/>
      </w:pPr>
      <w:r w:rsidRPr="00F44CD5">
        <w:t>La tarification incitative (TI) consiste à lier le montant de taxe d’enlèvement des ordures ménagères (TEOM) ou le montant de la redevance d’enlèvement des ordures ménagère (REOM), à la quantité (volume ou poids) de déchets produits. Elle permet alors :</w:t>
      </w:r>
    </w:p>
    <w:p w14:paraId="18C65BC1" w14:textId="306A2CFD" w:rsidR="00326DE8" w:rsidRPr="00F44CD5" w:rsidRDefault="00326DE8" w:rsidP="00F0602B">
      <w:pPr>
        <w:pStyle w:val="Pucenoir"/>
      </w:pPr>
      <w:proofErr w:type="gramStart"/>
      <w:r w:rsidRPr="00F44CD5">
        <w:t>de</w:t>
      </w:r>
      <w:proofErr w:type="gramEnd"/>
      <w:r w:rsidRPr="00F44CD5">
        <w:t xml:space="preserve"> sensibiliser les usagers à la réduction globale des déchets dans leur ensemble ;</w:t>
      </w:r>
    </w:p>
    <w:p w14:paraId="0CBAC346" w14:textId="3E3FC79D" w:rsidR="00326DE8" w:rsidRPr="00F44CD5" w:rsidRDefault="00326DE8" w:rsidP="00F0602B">
      <w:pPr>
        <w:pStyle w:val="Pucenoir"/>
      </w:pPr>
      <w:proofErr w:type="gramStart"/>
      <w:r w:rsidRPr="00F44CD5">
        <w:t>de</w:t>
      </w:r>
      <w:proofErr w:type="gramEnd"/>
      <w:r w:rsidRPr="00F44CD5">
        <w:t xml:space="preserve"> contribuer à une amélioration des performances de collecte séparée et de valorisation des déchets et ainsi réduire les quantités de déchets non triés envoyés en centre de stockage ou à l’incinération ;</w:t>
      </w:r>
    </w:p>
    <w:p w14:paraId="73E204D5" w14:textId="4C5305AB" w:rsidR="00326DE8" w:rsidRPr="00F44CD5" w:rsidRDefault="00326DE8" w:rsidP="00F0602B">
      <w:pPr>
        <w:pStyle w:val="Pucenoir"/>
      </w:pPr>
      <w:proofErr w:type="gramStart"/>
      <w:r w:rsidRPr="00F44CD5">
        <w:t>de</w:t>
      </w:r>
      <w:proofErr w:type="gramEnd"/>
      <w:r w:rsidRPr="00F44CD5">
        <w:t xml:space="preserve"> contribuer à une maîtrise des coûts par l’amélioration et l’optimisation de la collecte des déchets.</w:t>
      </w:r>
    </w:p>
    <w:p w14:paraId="40E04641" w14:textId="6BCDF0FE" w:rsidR="00326DE8" w:rsidRPr="00F44CD5" w:rsidRDefault="00326DE8" w:rsidP="00F0602B">
      <w:pPr>
        <w:pStyle w:val="TexteCourant"/>
      </w:pPr>
      <w:r w:rsidRPr="00F44CD5">
        <w:t>La TI est un outil de prévention puisque la majorité des collectivités l’ayant mise en œuvre observe une baisse de 30 à 50 % de la quantité d’ordures ménagères résiduelles collectée mais aussi une réduction de la quantité totale de déchets ménagers et assimilés pris en charge.</w:t>
      </w:r>
    </w:p>
    <w:p w14:paraId="76F41496" w14:textId="77777777" w:rsidR="00326DE8" w:rsidRPr="00F44CD5" w:rsidRDefault="00326DE8" w:rsidP="00F0602B">
      <w:pPr>
        <w:pStyle w:val="TexteCourant"/>
      </w:pPr>
      <w:r w:rsidRPr="00F44CD5">
        <w:t>La TI est également un outil d’amélioration de la valorisation matière grâce aux transferts importants vers les collectes sélectives et les déchèteries.</w:t>
      </w:r>
    </w:p>
    <w:p w14:paraId="0CC6AAB1" w14:textId="77777777" w:rsidR="00326DE8" w:rsidRPr="00F44CD5" w:rsidRDefault="00326DE8" w:rsidP="00F0602B">
      <w:pPr>
        <w:pStyle w:val="TexteCourant"/>
      </w:pPr>
      <w:r w:rsidRPr="00F44CD5">
        <w:t>L’instauration d’une TI génère pour la collectivité de nouvelles charges liées à la gestion de la tarification incitative (gestion du fichier des usagers, communication…) et aux investissements à réaliser (contenants, puces…). Les aides de l’ADEME visent à couvrir une partie de la dépense initiale de mise en œuvre effective de la TI. Par la suite, le déploiement de la tarification incitative doit permettre à la collectivité de maitriser la hausse des coûts de collecte et de traitement.</w:t>
      </w:r>
    </w:p>
    <w:p w14:paraId="3C8F06DE" w14:textId="1B90DFB9" w:rsidR="00326DE8" w:rsidRPr="00F44CD5" w:rsidRDefault="00326DE8" w:rsidP="00F0602B">
      <w:pPr>
        <w:pStyle w:val="TexteCourant"/>
      </w:pPr>
      <w:r w:rsidRPr="00F44CD5">
        <w:t>Au 1er janvier 202</w:t>
      </w:r>
      <w:r w:rsidR="00A90F7F">
        <w:t>1</w:t>
      </w:r>
      <w:r w:rsidRPr="00F44CD5">
        <w:t>, la population totale concernée par la TI est d’environ 6</w:t>
      </w:r>
      <w:r w:rsidR="00A90F7F">
        <w:t>,6</w:t>
      </w:r>
      <w:r w:rsidRPr="00F44CD5">
        <w:t xml:space="preserve"> millions d’habitants. </w:t>
      </w:r>
    </w:p>
    <w:p w14:paraId="56073FD3" w14:textId="77777777" w:rsidR="00326DE8" w:rsidRPr="00F44CD5" w:rsidRDefault="00326DE8" w:rsidP="00F0602B">
      <w:pPr>
        <w:pStyle w:val="TexteCourant"/>
      </w:pPr>
      <w:r w:rsidRPr="00F44CD5">
        <w:t>La Loi de Transition Énergétique pour la Croissance Verte (LTECV) vise 15 millions d’habitants concernés par la TI en 2020 et 25 millions en 2025, sans en faire une obligation réglementaire pour les collectivités compétentes.</w:t>
      </w:r>
    </w:p>
    <w:p w14:paraId="5E0C5738" w14:textId="0897D9AF" w:rsidR="00930297" w:rsidRPr="00602D9D" w:rsidRDefault="00930297" w:rsidP="005B4A19">
      <w:pPr>
        <w:spacing w:after="0"/>
        <w:jc w:val="both"/>
        <w:rPr>
          <w:rFonts w:ascii="Marianne" w:hAnsi="Marianne"/>
          <w:color w:val="538135" w:themeColor="accent6" w:themeShade="BF"/>
        </w:rPr>
      </w:pPr>
    </w:p>
    <w:p w14:paraId="76FBC575" w14:textId="320CDF47" w:rsidR="00930297" w:rsidRPr="00F44CD5" w:rsidRDefault="00930297" w:rsidP="00F0602B">
      <w:pPr>
        <w:pStyle w:val="Titre1"/>
        <w:rPr>
          <w:rFonts w:eastAsia="Times New Roman"/>
        </w:rPr>
      </w:pPr>
      <w:r w:rsidRPr="00F44CD5">
        <w:rPr>
          <w:rFonts w:eastAsia="Times New Roman"/>
        </w:rPr>
        <w:t xml:space="preserve">DESCRIPTION DES PROJETS ELIGIBLES </w:t>
      </w:r>
    </w:p>
    <w:p w14:paraId="506A88DC" w14:textId="77777777" w:rsidR="00F96685" w:rsidRPr="00F44CD5" w:rsidRDefault="00F96685" w:rsidP="00F96685">
      <w:pPr>
        <w:spacing w:after="0"/>
        <w:jc w:val="both"/>
        <w:rPr>
          <w:rFonts w:ascii="Marianne" w:hAnsi="Marianne"/>
        </w:rPr>
      </w:pPr>
    </w:p>
    <w:p w14:paraId="0CC75263" w14:textId="22468AC7" w:rsidR="00F0602B" w:rsidRPr="00F0602B" w:rsidRDefault="0084360F" w:rsidP="00F0602B">
      <w:pPr>
        <w:pStyle w:val="11soustitre"/>
      </w:pPr>
      <w:r w:rsidRPr="00F0602B">
        <w:t>Conditions communes</w:t>
      </w:r>
    </w:p>
    <w:p w14:paraId="4C9C9440" w14:textId="203D75E5" w:rsidR="00930297" w:rsidRPr="00F44CD5" w:rsidRDefault="00930297" w:rsidP="00F0602B">
      <w:pPr>
        <w:pStyle w:val="TexteCourant"/>
      </w:pPr>
      <w:r w:rsidRPr="00F44CD5">
        <w:t xml:space="preserve">Les présentes Conditions d’éligibilité et de financement sont applicables aux études menées dans tous les domaines d’intervention de l’ADEME. </w:t>
      </w:r>
    </w:p>
    <w:p w14:paraId="2211466D" w14:textId="4486BB3B" w:rsidR="00F96685" w:rsidRPr="00F44CD5" w:rsidRDefault="00F96685" w:rsidP="00F0602B">
      <w:pPr>
        <w:pStyle w:val="TexteCourant"/>
        <w:rPr>
          <w:szCs w:val="18"/>
        </w:rPr>
      </w:pPr>
      <w:r w:rsidRPr="00F44CD5">
        <w:rPr>
          <w:szCs w:val="18"/>
        </w:rPr>
        <w:t>En vue de favoriser l’atteinte des objectifs des politiques publiques en faveur de l’énergie et de l’environnement et notamment la transition écologique et énergétique, l’ADEME participe au financement d</w:t>
      </w:r>
      <w:r w:rsidR="00930297" w:rsidRPr="00F44CD5">
        <w:rPr>
          <w:szCs w:val="18"/>
        </w:rPr>
        <w:t xml:space="preserve">e diverses </w:t>
      </w:r>
      <w:r w:rsidR="00282168" w:rsidRPr="00F44CD5">
        <w:rPr>
          <w:szCs w:val="18"/>
        </w:rPr>
        <w:t>études</w:t>
      </w:r>
      <w:r w:rsidRPr="00F44CD5">
        <w:rPr>
          <w:szCs w:val="18"/>
        </w:rPr>
        <w:t xml:space="preserve"> visant à acquérir des connaissances : </w:t>
      </w:r>
    </w:p>
    <w:p w14:paraId="22D72607" w14:textId="5E1F8D73" w:rsidR="00E446A9" w:rsidRPr="00F44CD5" w:rsidRDefault="00614B9F" w:rsidP="00F0602B">
      <w:pPr>
        <w:pStyle w:val="Pucenoir"/>
      </w:pPr>
      <w:proofErr w:type="gramStart"/>
      <w:r w:rsidRPr="00F44CD5">
        <w:t>pour</w:t>
      </w:r>
      <w:proofErr w:type="gramEnd"/>
      <w:r w:rsidRPr="00F44CD5">
        <w:t xml:space="preserve"> un porteur de projet, par des études de diagnostic et de faisabilité,</w:t>
      </w:r>
      <w:r w:rsidR="00E446A9" w:rsidRPr="00F44CD5">
        <w:t xml:space="preserve"> ou</w:t>
      </w:r>
      <w:r w:rsidRPr="00F44CD5">
        <w:t xml:space="preserve"> expérimentations préalables </w:t>
      </w:r>
      <w:r w:rsidR="00B73FD1" w:rsidRPr="00F44CD5">
        <w:t>au déploiement d’un projet d’</w:t>
      </w:r>
      <w:r w:rsidRPr="00F44CD5">
        <w:t>investissement</w:t>
      </w:r>
      <w:r w:rsidR="00E446A9" w:rsidRPr="00F44CD5">
        <w:t>.</w:t>
      </w:r>
    </w:p>
    <w:p w14:paraId="5677C07C" w14:textId="77777777" w:rsidR="00E446A9" w:rsidRPr="00F44CD5" w:rsidRDefault="00E446A9" w:rsidP="00F0602B">
      <w:pPr>
        <w:ind w:left="737"/>
        <w:jc w:val="both"/>
        <w:rPr>
          <w:rFonts w:ascii="Marianne Light" w:hAnsi="Marianne Light"/>
          <w:sz w:val="18"/>
          <w:szCs w:val="18"/>
        </w:rPr>
      </w:pPr>
      <w:r w:rsidRPr="00F44CD5">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F44CD5" w:rsidRDefault="00E446A9" w:rsidP="00F0602B">
      <w:pPr>
        <w:ind w:left="737"/>
        <w:jc w:val="both"/>
        <w:rPr>
          <w:rFonts w:ascii="Marianne Light" w:hAnsi="Marianne Light"/>
          <w:sz w:val="18"/>
          <w:szCs w:val="18"/>
        </w:rPr>
      </w:pPr>
      <w:r w:rsidRPr="00F44CD5">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F44CD5" w:rsidRDefault="00E446A9" w:rsidP="00F0602B">
      <w:pPr>
        <w:pStyle w:val="pucerondes"/>
      </w:pPr>
      <w:proofErr w:type="gramStart"/>
      <w:r w:rsidRPr="00F44CD5">
        <w:t>nécessiter</w:t>
      </w:r>
      <w:proofErr w:type="gramEnd"/>
      <w:r w:rsidRPr="00F44CD5">
        <w:t xml:space="preserve"> une compétence pointue (technique, économique, méthodologique, juridique, etc.), permettant l’accompagnement d’un maître d’ouvrage dans son projet, </w:t>
      </w:r>
    </w:p>
    <w:p w14:paraId="5147DBED" w14:textId="69CD3954" w:rsidR="00E446A9" w:rsidRPr="00F44CD5" w:rsidRDefault="00E446A9" w:rsidP="00F0602B">
      <w:pPr>
        <w:pStyle w:val="pucerondes"/>
        <w:spacing w:after="120"/>
      </w:pPr>
      <w:proofErr w:type="gramStart"/>
      <w:r w:rsidRPr="00F44CD5">
        <w:t>ou</w:t>
      </w:r>
      <w:proofErr w:type="gramEnd"/>
      <w:r w:rsidRPr="00F44CD5">
        <w:t xml:space="preserve"> encore se matérialiser par un conseil plus ou moins continu sur la durée d’un projet (mission d’accompagnement, d’assistance à maîtrise d’ouvrage, …). </w:t>
      </w:r>
    </w:p>
    <w:p w14:paraId="0CE9A0B3" w14:textId="6E0C85E5" w:rsidR="00930297" w:rsidRPr="00F44CD5" w:rsidRDefault="00614B9F" w:rsidP="00F0602B">
      <w:pPr>
        <w:pStyle w:val="Pucenoir"/>
      </w:pPr>
      <w:proofErr w:type="gramStart"/>
      <w:r w:rsidRPr="00F44CD5">
        <w:lastRenderedPageBreak/>
        <w:t>de</w:t>
      </w:r>
      <w:proofErr w:type="gramEnd"/>
      <w:r w:rsidRPr="00F44CD5">
        <w:t xml:space="preserve"> manière générale, par d</w:t>
      </w:r>
      <w:r w:rsidR="00F96685" w:rsidRPr="00F44CD5">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F44CD5">
        <w:t>ces travaux étant nommés études générales, ci-dessous</w:t>
      </w:r>
      <w:r w:rsidRPr="00F44CD5">
        <w:t>.</w:t>
      </w:r>
      <w:r w:rsidR="00930297" w:rsidRPr="00F44CD5">
        <w:t xml:space="preserve"> </w:t>
      </w:r>
    </w:p>
    <w:p w14:paraId="78F6DE68" w14:textId="77777777" w:rsidR="00E446A9" w:rsidRPr="00F44CD5" w:rsidRDefault="00E446A9" w:rsidP="00F0602B">
      <w:pPr>
        <w:pStyle w:val="TexteCourant"/>
      </w:pPr>
      <w:r w:rsidRPr="00F44CD5">
        <w:t>Le champ ou périmètre de l’étude doit rentrer dans les domaines d’intervention de l’ADEME.</w:t>
      </w:r>
    </w:p>
    <w:p w14:paraId="67D0BAD9" w14:textId="441C0675" w:rsidR="006A48D4" w:rsidRPr="00F44CD5" w:rsidRDefault="006A48D4" w:rsidP="00F0602B">
      <w:pPr>
        <w:pStyle w:val="TexteCourant"/>
      </w:pPr>
      <w:r w:rsidRPr="00F44CD5">
        <w:t>Les bénéficiaires des interventions financières de l’ADEME sont les personnes morales publiques (à l’exception des services de l’</w:t>
      </w:r>
      <w:r w:rsidR="00B73FD1" w:rsidRPr="00F44CD5">
        <w:t>État</w:t>
      </w:r>
      <w:r w:rsidRPr="00F44CD5">
        <w:t>) ou privées, exerçant une activité économique ou non.</w:t>
      </w:r>
      <w:r w:rsidR="00B53FEA" w:rsidRPr="00F44CD5">
        <w:t xml:space="preserve"> </w:t>
      </w:r>
      <w:r w:rsidR="0040650E" w:rsidRPr="00F44CD5">
        <w:t>L</w:t>
      </w:r>
      <w:r w:rsidRPr="00F44CD5">
        <w:t>es particuliers ne sont pas éligibles aux aides du présent dispositif (mais les aides octroyées par l’ADEME à des personnes morales peuvent bénéficier indirectement à des particuliers).</w:t>
      </w:r>
    </w:p>
    <w:p w14:paraId="02308050" w14:textId="4BF86254" w:rsidR="0084360F" w:rsidRPr="00F44CD5" w:rsidRDefault="0084360F" w:rsidP="00F0602B">
      <w:pPr>
        <w:pStyle w:val="11soustitre"/>
      </w:pPr>
      <w:r w:rsidRPr="00F44CD5">
        <w:t xml:space="preserve">Conditions </w:t>
      </w:r>
      <w:r w:rsidR="00943ED0" w:rsidRPr="00F44CD5">
        <w:t>spécifiques</w:t>
      </w:r>
    </w:p>
    <w:p w14:paraId="1E0D7552" w14:textId="469AF20F" w:rsidR="00936F9D" w:rsidRPr="00F8296D" w:rsidRDefault="00F8296D" w:rsidP="00F0602B">
      <w:pPr>
        <w:pStyle w:val="TexteCourant"/>
      </w:pPr>
      <w:r w:rsidRPr="00F8296D">
        <w:t>Les études suivantes s</w:t>
      </w:r>
      <w:r w:rsidR="00936F9D" w:rsidRPr="00F8296D">
        <w:t>ont éligibles</w:t>
      </w:r>
      <w:r w:rsidR="00936F9D" w:rsidRPr="00F8296D">
        <w:rPr>
          <w:rFonts w:ascii="Calibri" w:hAnsi="Calibri" w:cs="Calibri"/>
        </w:rPr>
        <w:t> </w:t>
      </w:r>
      <w:r>
        <w:rPr>
          <w:rFonts w:ascii="Calibri" w:hAnsi="Calibri" w:cs="Calibri"/>
        </w:rPr>
        <w:t xml:space="preserve">aux aides de l’ADEME </w:t>
      </w:r>
      <w:r w:rsidR="00936F9D" w:rsidRPr="00F8296D">
        <w:t xml:space="preserve">: </w:t>
      </w:r>
    </w:p>
    <w:p w14:paraId="5D07513D" w14:textId="77777777" w:rsidR="00936F9D" w:rsidRPr="00F44CD5" w:rsidRDefault="00936F9D" w:rsidP="00F0602B">
      <w:pPr>
        <w:pStyle w:val="Pucenoir"/>
      </w:pPr>
      <w:r w:rsidRPr="00F44CD5">
        <w:t>Études préalables à la mise en œuvre ou à l’extension à un nouveau périmètre de la tarification incitative.</w:t>
      </w:r>
    </w:p>
    <w:p w14:paraId="7CC47BC8" w14:textId="77777777" w:rsidR="00936F9D" w:rsidRDefault="00936F9D" w:rsidP="00F0602B">
      <w:pPr>
        <w:pStyle w:val="Pucenoir"/>
      </w:pPr>
      <w:r w:rsidRPr="00F44CD5">
        <w:t>Études liées à la refonte d’une tarification existante.</w:t>
      </w:r>
    </w:p>
    <w:p w14:paraId="2FAAA554" w14:textId="143C98E8" w:rsidR="00FB75DA" w:rsidRPr="00F44CD5" w:rsidRDefault="00FB75DA" w:rsidP="00FB75DA">
      <w:pPr>
        <w:pStyle w:val="Pucenoir"/>
      </w:pPr>
      <w:r w:rsidRPr="00F44CD5">
        <w:t>Études préalables à la mise en œuvre ou à l’extension</w:t>
      </w:r>
      <w:r>
        <w:t xml:space="preserve"> de la redevance spéciale</w:t>
      </w:r>
      <w:r w:rsidR="005B69FE">
        <w:t>.</w:t>
      </w:r>
    </w:p>
    <w:p w14:paraId="12363FC7" w14:textId="327C860A" w:rsidR="002A3DD6" w:rsidRPr="00F44CD5" w:rsidRDefault="002A3DD6" w:rsidP="002A3DD6">
      <w:pPr>
        <w:spacing w:after="0"/>
        <w:jc w:val="both"/>
        <w:rPr>
          <w:rFonts w:ascii="Marianne" w:hAnsi="Marianne"/>
        </w:rPr>
      </w:pPr>
    </w:p>
    <w:p w14:paraId="4198D78F" w14:textId="4FB25BC3" w:rsidR="00614B9F" w:rsidRDefault="00614B9F" w:rsidP="00F0602B">
      <w:pPr>
        <w:pStyle w:val="Titre1"/>
        <w:rPr>
          <w:rFonts w:eastAsia="Times New Roman"/>
        </w:rPr>
      </w:pPr>
      <w:r w:rsidRPr="00F44CD5">
        <w:rPr>
          <w:rFonts w:eastAsia="Times New Roman"/>
        </w:rPr>
        <w:t>Conditions d’éligibilité</w:t>
      </w:r>
    </w:p>
    <w:p w14:paraId="19B9159F" w14:textId="77777777" w:rsidR="00F0602B" w:rsidRPr="00F0602B" w:rsidRDefault="00F0602B" w:rsidP="00F0602B">
      <w:pPr>
        <w:pStyle w:val="Paragraphedeliste"/>
        <w:numPr>
          <w:ilvl w:val="0"/>
          <w:numId w:val="36"/>
        </w:numPr>
        <w:rPr>
          <w:rFonts w:ascii="Marianne Light" w:hAnsi="Marianne Light"/>
          <w:vanish/>
          <w:sz w:val="18"/>
          <w:szCs w:val="18"/>
          <w:u w:val="single"/>
        </w:rPr>
      </w:pPr>
    </w:p>
    <w:p w14:paraId="69B54A19" w14:textId="77777777" w:rsidR="00F0602B" w:rsidRPr="00F0602B" w:rsidRDefault="00F0602B" w:rsidP="00F0602B">
      <w:pPr>
        <w:pStyle w:val="Paragraphedeliste"/>
        <w:numPr>
          <w:ilvl w:val="0"/>
          <w:numId w:val="36"/>
        </w:numPr>
        <w:rPr>
          <w:rFonts w:ascii="Marianne Light" w:hAnsi="Marianne Light"/>
          <w:vanish/>
          <w:sz w:val="18"/>
          <w:szCs w:val="18"/>
          <w:u w:val="single"/>
        </w:rPr>
      </w:pPr>
    </w:p>
    <w:p w14:paraId="5CFE349C" w14:textId="6C7F4635" w:rsidR="00D158E9" w:rsidRPr="00F44CD5" w:rsidRDefault="00D158E9" w:rsidP="00F0602B">
      <w:pPr>
        <w:pStyle w:val="11soustitre"/>
        <w:numPr>
          <w:ilvl w:val="1"/>
          <w:numId w:val="36"/>
        </w:numPr>
      </w:pPr>
      <w:r w:rsidRPr="00F44CD5">
        <w:t>Conditions communes</w:t>
      </w:r>
      <w:r w:rsidR="009002F6" w:rsidRPr="00F44CD5">
        <w:t xml:space="preserve"> à toutes les thématiques</w:t>
      </w:r>
    </w:p>
    <w:p w14:paraId="6013A2CC" w14:textId="5ADCA04B" w:rsidR="00614B9F" w:rsidRPr="00F44CD5" w:rsidRDefault="00614B9F" w:rsidP="00892F92">
      <w:pPr>
        <w:pStyle w:val="TexteCourant"/>
      </w:pPr>
      <w:r w:rsidRPr="00F44CD5">
        <w:t xml:space="preserve">L’étude ne doit pas déjà être commencée ou commandée lorsque le porteur a recours à un prestataire extérieur. </w:t>
      </w:r>
    </w:p>
    <w:p w14:paraId="68DC33BE" w14:textId="3C53898F" w:rsidR="00C74260" w:rsidRPr="00F44CD5" w:rsidRDefault="00C74260" w:rsidP="00892F92">
      <w:pPr>
        <w:pStyle w:val="TexteCourant"/>
      </w:pPr>
      <w:r w:rsidRPr="00F44CD5">
        <w:t>Tous les</w:t>
      </w:r>
      <w:r w:rsidR="00B73FD1" w:rsidRPr="00F44CD5">
        <w:t xml:space="preserve"> coûts liés à l’étude sont éligibles.</w:t>
      </w:r>
      <w:r w:rsidRPr="00F44CD5">
        <w:t xml:space="preserve"> Ils peuvent être éventuellement plafonnés</w:t>
      </w:r>
      <w:r w:rsidR="00457448" w:rsidRPr="00F44CD5">
        <w:t xml:space="preserve"> notamment pour les études de diagnostics (50</w:t>
      </w:r>
      <w:r w:rsidR="00457448" w:rsidRPr="00F44CD5">
        <w:rPr>
          <w:rFonts w:ascii="Calibri" w:hAnsi="Calibri" w:cs="Calibri"/>
        </w:rPr>
        <w:t> </w:t>
      </w:r>
      <w:r w:rsidR="00457448" w:rsidRPr="00F44CD5">
        <w:t>000 €) ou pour les études d’accompagnement de projet (100</w:t>
      </w:r>
      <w:r w:rsidR="00457448" w:rsidRPr="00F44CD5">
        <w:rPr>
          <w:rFonts w:ascii="Calibri" w:hAnsi="Calibri" w:cs="Calibri"/>
        </w:rPr>
        <w:t> </w:t>
      </w:r>
      <w:r w:rsidR="00457448" w:rsidRPr="00F44CD5">
        <w:t>000 €)</w:t>
      </w:r>
      <w:r w:rsidRPr="00F44CD5">
        <w:t>.</w:t>
      </w:r>
      <w:r w:rsidR="00B73FD1" w:rsidRPr="00F44CD5">
        <w:t xml:space="preserve"> </w:t>
      </w:r>
    </w:p>
    <w:p w14:paraId="3CC6B168" w14:textId="515945EB" w:rsidR="00B73FD1" w:rsidRPr="00F44CD5" w:rsidRDefault="00B73FD1" w:rsidP="00892F92">
      <w:pPr>
        <w:pStyle w:val="TexteCourant"/>
      </w:pPr>
      <w:r w:rsidRPr="00F44CD5">
        <w:t xml:space="preserve">Elle peut être réalisée par un prestataire ou être réalisée en interne pour une étude générale ou une expérimentation préalable au déploiement d’un projet d’investissement. </w:t>
      </w:r>
    </w:p>
    <w:p w14:paraId="7B322320" w14:textId="142BD3B5" w:rsidR="005B4A19" w:rsidRPr="00F44CD5" w:rsidRDefault="00F643B5" w:rsidP="00892F92">
      <w:pPr>
        <w:pStyle w:val="TexteCourant"/>
      </w:pPr>
      <w:r w:rsidRPr="00F44CD5">
        <w:t>Pour certaines opératio</w:t>
      </w:r>
      <w:r w:rsidR="00E446A9" w:rsidRPr="00F44CD5">
        <w:t>ns, l’octroi de l’aide pourra être conditionné au recours à un prestataire dont les compétences respectent un référentiel validé par l’ADEME ou pouvant justifier de conditions équivalentes.</w:t>
      </w:r>
    </w:p>
    <w:p w14:paraId="2706D9B4" w14:textId="51942438" w:rsidR="00457448" w:rsidRPr="00F44CD5" w:rsidRDefault="00457448" w:rsidP="00892F92">
      <w:pPr>
        <w:pStyle w:val="TexteCourant"/>
      </w:pPr>
      <w:r w:rsidRPr="00F44CD5">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F44CD5" w:rsidRDefault="00457448" w:rsidP="00892F92">
      <w:pPr>
        <w:pStyle w:val="TexteCourant"/>
      </w:pPr>
      <w:r w:rsidRPr="00F44CD5">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F44CD5" w:rsidRDefault="00457448" w:rsidP="00892F92">
      <w:pPr>
        <w:pStyle w:val="TexteCourant"/>
      </w:pPr>
      <w:r w:rsidRPr="00F44CD5">
        <w:t xml:space="preserve">Dans tous les cas, le prestataire ne doit pas être exclu de ce champ d’activité par une quelconque réglementation. </w:t>
      </w:r>
    </w:p>
    <w:p w14:paraId="225F79F9" w14:textId="62F56D6B" w:rsidR="00D158E9" w:rsidRPr="006F6C01" w:rsidRDefault="00D158E9" w:rsidP="00892F92">
      <w:pPr>
        <w:pStyle w:val="11soustitre"/>
      </w:pPr>
      <w:r w:rsidRPr="006F6C01">
        <w:t>Conditions spécifiques</w:t>
      </w:r>
    </w:p>
    <w:p w14:paraId="65D7E026" w14:textId="39609175" w:rsidR="00456CE5" w:rsidRDefault="00326DE8" w:rsidP="00326DE8">
      <w:pPr>
        <w:pStyle w:val="Texteexerguesurligngris"/>
        <w:jc w:val="both"/>
        <w:rPr>
          <w:color w:val="auto"/>
          <w:szCs w:val="18"/>
        </w:rPr>
      </w:pPr>
      <w:r w:rsidRPr="00326DE8">
        <w:rPr>
          <w:color w:val="auto"/>
          <w:szCs w:val="18"/>
        </w:rPr>
        <w:t xml:space="preserve">Pour être éligible aux aides de l’ADEME le cahier des charges de l’étude doit se baser sur </w:t>
      </w:r>
      <w:r w:rsidR="00456CE5">
        <w:rPr>
          <w:color w:val="auto"/>
          <w:szCs w:val="18"/>
        </w:rPr>
        <w:t xml:space="preserve">un des 2 </w:t>
      </w:r>
      <w:r w:rsidR="00456CE5" w:rsidRPr="005B69FE">
        <w:t>modèles de cahier des charges</w:t>
      </w:r>
      <w:r w:rsidRPr="00326DE8">
        <w:rPr>
          <w:color w:val="auto"/>
          <w:szCs w:val="18"/>
        </w:rPr>
        <w:t xml:space="preserve"> mis à disposition par l’ADEME</w:t>
      </w:r>
      <w:r w:rsidR="00456CE5">
        <w:rPr>
          <w:rFonts w:ascii="Calibri" w:hAnsi="Calibri" w:cs="Calibri"/>
          <w:color w:val="auto"/>
          <w:szCs w:val="18"/>
        </w:rPr>
        <w:t> </w:t>
      </w:r>
      <w:r w:rsidR="00456CE5">
        <w:rPr>
          <w:color w:val="auto"/>
          <w:szCs w:val="18"/>
        </w:rPr>
        <w:t>:</w:t>
      </w:r>
    </w:p>
    <w:p w14:paraId="23B05306" w14:textId="02ED834F" w:rsidR="00456CE5" w:rsidRDefault="00411134" w:rsidP="005B69FE">
      <w:pPr>
        <w:pStyle w:val="Texteexerguesurligngris"/>
        <w:numPr>
          <w:ilvl w:val="0"/>
          <w:numId w:val="37"/>
        </w:numPr>
        <w:jc w:val="both"/>
        <w:rPr>
          <w:color w:val="auto"/>
          <w:szCs w:val="18"/>
        </w:rPr>
      </w:pPr>
      <w:hyperlink r:id="rId8" w:history="1">
        <w:r w:rsidR="00456CE5" w:rsidRPr="00456CE5">
          <w:rPr>
            <w:rStyle w:val="Lienhypertexte"/>
            <w:szCs w:val="18"/>
          </w:rPr>
          <w:t>Tarification incitative</w:t>
        </w:r>
      </w:hyperlink>
      <w:r w:rsidR="00456CE5">
        <w:rPr>
          <w:color w:val="auto"/>
          <w:szCs w:val="18"/>
        </w:rPr>
        <w:t xml:space="preserve"> </w:t>
      </w:r>
    </w:p>
    <w:p w14:paraId="3AC113F8" w14:textId="22FBAA80" w:rsidR="00326DE8" w:rsidRDefault="00411134" w:rsidP="005B69FE">
      <w:pPr>
        <w:pStyle w:val="Texteexerguesurligngris"/>
        <w:numPr>
          <w:ilvl w:val="0"/>
          <w:numId w:val="37"/>
        </w:numPr>
        <w:jc w:val="both"/>
        <w:rPr>
          <w:color w:val="auto"/>
          <w:szCs w:val="18"/>
        </w:rPr>
      </w:pPr>
      <w:hyperlink r:id="rId9" w:anchor="/44-type_de_produit-format_electronique" w:history="1">
        <w:r w:rsidR="00456CE5" w:rsidRPr="00456CE5">
          <w:rPr>
            <w:rStyle w:val="Lienhypertexte"/>
            <w:szCs w:val="18"/>
          </w:rPr>
          <w:t>Tarification incitative et tri à la source des biodéchets</w:t>
        </w:r>
      </w:hyperlink>
      <w:r w:rsidR="00326DE8" w:rsidRPr="00326DE8">
        <w:rPr>
          <w:color w:val="auto"/>
          <w:szCs w:val="18"/>
        </w:rPr>
        <w:t xml:space="preserve"> </w:t>
      </w:r>
    </w:p>
    <w:p w14:paraId="7D8E9B71" w14:textId="19503490" w:rsidR="001B634F" w:rsidRDefault="001B634F" w:rsidP="00326DE8">
      <w:pPr>
        <w:pStyle w:val="Texteexerguesurligngris"/>
        <w:jc w:val="both"/>
        <w:rPr>
          <w:color w:val="auto"/>
          <w:szCs w:val="18"/>
        </w:rPr>
      </w:pPr>
      <w:r>
        <w:rPr>
          <w:color w:val="auto"/>
          <w:szCs w:val="18"/>
        </w:rPr>
        <w:t>Pour les études redevance spéciale, l’ADEME ne propose pas de modèle de cahier des charges.</w:t>
      </w:r>
    </w:p>
    <w:p w14:paraId="59F7B889" w14:textId="11798276" w:rsidR="000171FF" w:rsidRPr="00326DE8" w:rsidRDefault="000171FF" w:rsidP="00326DE8">
      <w:pPr>
        <w:pStyle w:val="Texteexerguesurligngris"/>
        <w:jc w:val="both"/>
        <w:rPr>
          <w:color w:val="auto"/>
          <w:szCs w:val="18"/>
        </w:rPr>
      </w:pPr>
      <w:r>
        <w:rPr>
          <w:color w:val="auto"/>
          <w:szCs w:val="18"/>
        </w:rPr>
        <w:t xml:space="preserve">L’étude doit être réalisée par un </w:t>
      </w:r>
      <w:r w:rsidRPr="000171FF">
        <w:rPr>
          <w:color w:val="auto"/>
          <w:szCs w:val="18"/>
        </w:rPr>
        <w:t xml:space="preserve">bureau d’étude </w:t>
      </w:r>
      <w:r>
        <w:rPr>
          <w:color w:val="auto"/>
          <w:szCs w:val="18"/>
        </w:rPr>
        <w:t>tiers. Les dépenses internes ne sont pas éligibles.</w:t>
      </w:r>
    </w:p>
    <w:p w14:paraId="1C27DD60" w14:textId="77777777" w:rsidR="00326DE8" w:rsidRDefault="00326DE8" w:rsidP="00326DE8">
      <w:pPr>
        <w:pStyle w:val="Texteexerguesurligngris"/>
        <w:jc w:val="both"/>
        <w:rPr>
          <w:color w:val="auto"/>
          <w:szCs w:val="18"/>
        </w:rPr>
      </w:pPr>
      <w:r w:rsidRPr="00326DE8">
        <w:rPr>
          <w:color w:val="auto"/>
          <w:szCs w:val="18"/>
        </w:rPr>
        <w:lastRenderedPageBreak/>
        <w:t>Toutes les collectivités peuvent être concernées par la mise en place de la TI, qu’elles fonctionnent selon le régime de la REOM, de la TEOM ou du budget général.</w:t>
      </w:r>
    </w:p>
    <w:p w14:paraId="1BEAFDCA" w14:textId="47D24E62" w:rsidR="001B634F" w:rsidRPr="00326DE8" w:rsidRDefault="001B634F" w:rsidP="00326DE8">
      <w:pPr>
        <w:pStyle w:val="Texteexerguesurligngris"/>
        <w:jc w:val="both"/>
        <w:rPr>
          <w:color w:val="auto"/>
          <w:szCs w:val="18"/>
        </w:rPr>
      </w:pPr>
      <w:r>
        <w:rPr>
          <w:color w:val="auto"/>
          <w:szCs w:val="18"/>
        </w:rPr>
        <w:t>La mise en place d’une redevance spéciale ne peut être envisagée que par les collectivités finançant le service par la TEOM, la TEOM incitative et/ou le budget général.</w:t>
      </w:r>
    </w:p>
    <w:p w14:paraId="40645BE8" w14:textId="77777777" w:rsidR="00326DE8" w:rsidRPr="00326DE8" w:rsidRDefault="00326DE8" w:rsidP="00326DE8">
      <w:pPr>
        <w:pStyle w:val="Texteexerguesurligngris"/>
        <w:jc w:val="both"/>
        <w:rPr>
          <w:color w:val="auto"/>
          <w:szCs w:val="18"/>
        </w:rPr>
      </w:pPr>
      <w:r w:rsidRPr="00326DE8">
        <w:rPr>
          <w:color w:val="auto"/>
          <w:szCs w:val="18"/>
        </w:rPr>
        <w:t>Pour les collectivités qui réalisent une extension de la tarification incitative sur une nouvelle partie de leur territoire, l’étude préalable pourra être allégée. Elle reste cependant nécessaire pour :</w:t>
      </w:r>
    </w:p>
    <w:p w14:paraId="65269750" w14:textId="650EBB97" w:rsidR="00326DE8" w:rsidRPr="00F44CD5" w:rsidRDefault="00326DE8" w:rsidP="00892F92">
      <w:pPr>
        <w:pStyle w:val="Pucenoir"/>
      </w:pPr>
      <w:r w:rsidRPr="00F44CD5">
        <w:t>Dimensionner le futur service ;</w:t>
      </w:r>
    </w:p>
    <w:p w14:paraId="1487D592" w14:textId="7E0506F0" w:rsidR="00326DE8" w:rsidRPr="00F44CD5" w:rsidRDefault="00326DE8" w:rsidP="00892F92">
      <w:pPr>
        <w:pStyle w:val="Pucenoir"/>
      </w:pPr>
      <w:r w:rsidRPr="00F44CD5">
        <w:t>Définir les moyens nécessaires à son extension (humains, techniques et financiers) ;</w:t>
      </w:r>
    </w:p>
    <w:p w14:paraId="3A18FF08" w14:textId="60E9B64E" w:rsidR="00326DE8" w:rsidRPr="00F44CD5" w:rsidRDefault="00326DE8" w:rsidP="00892F92">
      <w:pPr>
        <w:pStyle w:val="Pucenoir"/>
      </w:pPr>
      <w:r w:rsidRPr="00F44CD5">
        <w:t>Établir le planning de mise en œuvre ;</w:t>
      </w:r>
    </w:p>
    <w:p w14:paraId="08A93B10" w14:textId="08934744" w:rsidR="00D158E9" w:rsidRPr="00F44CD5" w:rsidRDefault="00326DE8" w:rsidP="00892F92">
      <w:pPr>
        <w:pStyle w:val="Pucenoir"/>
      </w:pPr>
      <w:r w:rsidRPr="00F44CD5">
        <w:t>Prendre le temps de concerter l’ensemble des élus des territoires non encore concernés par la TI, pour s’assurer de leur adhésion au projet.</w:t>
      </w:r>
    </w:p>
    <w:p w14:paraId="08731041" w14:textId="77777777" w:rsidR="0041207D" w:rsidRPr="00602D9D" w:rsidRDefault="0041207D" w:rsidP="0041207D">
      <w:pPr>
        <w:spacing w:after="0"/>
        <w:jc w:val="both"/>
        <w:rPr>
          <w:rFonts w:ascii="Marianne" w:hAnsi="Marianne"/>
          <w:color w:val="538135" w:themeColor="accent6" w:themeShade="BF"/>
        </w:rPr>
      </w:pPr>
    </w:p>
    <w:p w14:paraId="25F21D26" w14:textId="6BF43EE9" w:rsidR="00762DCD" w:rsidRPr="00602D9D" w:rsidRDefault="00762DCD" w:rsidP="008C171D">
      <w:pPr>
        <w:spacing w:after="0"/>
        <w:jc w:val="both"/>
        <w:rPr>
          <w:rFonts w:ascii="Marianne" w:hAnsi="Marianne"/>
          <w:color w:val="538135" w:themeColor="accent6" w:themeShade="BF"/>
        </w:rPr>
      </w:pPr>
    </w:p>
    <w:p w14:paraId="69F1BC83" w14:textId="451BC537" w:rsidR="00124B96" w:rsidRPr="00F44CD5" w:rsidRDefault="00C74260" w:rsidP="00892F92">
      <w:pPr>
        <w:pStyle w:val="Titre1"/>
      </w:pPr>
      <w:r w:rsidRPr="00F44CD5">
        <w:t xml:space="preserve">FORME ET </w:t>
      </w:r>
      <w:r w:rsidR="00124B96" w:rsidRPr="00892F92">
        <w:t>Modalités</w:t>
      </w:r>
      <w:r w:rsidR="00124B96" w:rsidRPr="00F44CD5">
        <w:t xml:space="preserve"> DE CALCUL DE L’aide</w:t>
      </w:r>
    </w:p>
    <w:p w14:paraId="03BAC027" w14:textId="77777777" w:rsidR="00C74260" w:rsidRPr="00F44CD5" w:rsidRDefault="00C74260" w:rsidP="00892F92">
      <w:pPr>
        <w:pStyle w:val="TexteCourant"/>
      </w:pPr>
      <w:r w:rsidRPr="00F44CD5">
        <w:t xml:space="preserve">L’aide est attribuée sous forme de subvention en fonction de la qualification de l’activité aidée et la taille de l’entreprise aidée. </w:t>
      </w:r>
    </w:p>
    <w:p w14:paraId="7C2EFD72" w14:textId="1FE37D19" w:rsidR="00C74260" w:rsidRPr="00F44CD5" w:rsidRDefault="00C74260" w:rsidP="00892F92">
      <w:pPr>
        <w:pStyle w:val="TexteCourant"/>
      </w:pPr>
      <w:r w:rsidRPr="00F44CD5">
        <w:t xml:space="preserve">Cette aide peut aller jusqu’à </w:t>
      </w:r>
      <w:r w:rsidR="00D55A11">
        <w:t>8</w:t>
      </w:r>
      <w:r w:rsidRPr="00F44CD5">
        <w:t xml:space="preserve">0 % pour une petite entreprise ou dans le cadre d’une activité non économique. </w:t>
      </w:r>
    </w:p>
    <w:p w14:paraId="1B35589A" w14:textId="2B0E5957" w:rsidR="00943ED0" w:rsidRPr="00F44CD5" w:rsidRDefault="00C74260" w:rsidP="00892F92">
      <w:pPr>
        <w:pStyle w:val="TexteCourant"/>
        <w:rPr>
          <w:rFonts w:ascii="Marianne" w:hAnsi="Marianne"/>
        </w:rPr>
      </w:pPr>
      <w:r w:rsidRPr="00F44CD5">
        <w:t xml:space="preserve">Les Petites, Moyennes ou Grandes Entreprises sont qualifiées selon la </w:t>
      </w:r>
      <w:hyperlink r:id="rId10" w:history="1">
        <w:r w:rsidRPr="00F44CD5">
          <w:t>définition européenne</w:t>
        </w:r>
      </w:hyperlink>
      <w:r w:rsidRPr="00F44CD5">
        <w:t>. Pour en</w:t>
      </w:r>
      <w:r w:rsidR="00457448" w:rsidRPr="00F44CD5">
        <w:t xml:space="preserve"> s</w:t>
      </w:r>
      <w:r w:rsidRPr="00F44CD5">
        <w:t xml:space="preserve">avoir plus, consultez la page « </w:t>
      </w:r>
      <w:hyperlink r:id="rId11" w:history="1">
        <w:r w:rsidRPr="00F44CD5">
          <w:t>Comment définit-on les petites et moyennes entreprises ?</w:t>
        </w:r>
      </w:hyperlink>
      <w:r w:rsidRPr="00F44CD5">
        <w:t xml:space="preserve"> » sur le portail de l’Économie, des Finances et de l’action des comptes</w:t>
      </w:r>
      <w:r w:rsidRPr="00F44CD5">
        <w:rPr>
          <w:rFonts w:ascii="Marianne" w:hAnsi="Marianne"/>
        </w:rPr>
        <w:t xml:space="preserve"> </w:t>
      </w:r>
      <w:r w:rsidRPr="00F44CD5">
        <w:t>publics</w:t>
      </w:r>
      <w:r w:rsidRPr="00F44CD5">
        <w:rPr>
          <w:rFonts w:ascii="Marianne" w:hAnsi="Marianne"/>
        </w:rPr>
        <w:t>.</w:t>
      </w:r>
    </w:p>
    <w:p w14:paraId="141E605E" w14:textId="008ABE8E" w:rsidR="00762DCD" w:rsidRPr="00F44CD5" w:rsidRDefault="00762DCD" w:rsidP="008C171D">
      <w:pPr>
        <w:spacing w:after="0"/>
        <w:jc w:val="both"/>
        <w:rPr>
          <w:rFonts w:ascii="Marianne" w:hAnsi="Marianne"/>
        </w:rPr>
      </w:pPr>
    </w:p>
    <w:p w14:paraId="209660B3" w14:textId="01FC4065" w:rsidR="009002F6" w:rsidRPr="00F44CD5" w:rsidRDefault="009002F6" w:rsidP="00892F92">
      <w:pPr>
        <w:pStyle w:val="Titre1"/>
        <w:rPr>
          <w:rFonts w:eastAsia="Times New Roman"/>
        </w:rPr>
      </w:pPr>
      <w:r w:rsidRPr="00892F92">
        <w:t>Conditions</w:t>
      </w:r>
      <w:r w:rsidRPr="00F44CD5">
        <w:rPr>
          <w:rFonts w:eastAsia="Times New Roman"/>
        </w:rPr>
        <w:t xml:space="preserve"> de versement</w:t>
      </w:r>
    </w:p>
    <w:p w14:paraId="4408872C" w14:textId="77777777" w:rsidR="009002F6" w:rsidRPr="00892F92" w:rsidRDefault="009002F6" w:rsidP="00892F92">
      <w:pPr>
        <w:pStyle w:val="TexteCourant"/>
        <w:rPr>
          <w:rFonts w:eastAsiaTheme="minorHAnsi"/>
        </w:rPr>
      </w:pPr>
      <w:r w:rsidRPr="00F44CD5">
        <w:rPr>
          <w:rFonts w:eastAsiaTheme="minorHAnsi"/>
          <w:lang w:eastAsia="en-US"/>
        </w:rPr>
        <w:t>Le versement est réalisé</w:t>
      </w:r>
      <w:r w:rsidRPr="00892F92">
        <w:rPr>
          <w:rFonts w:eastAsiaTheme="minorHAnsi"/>
        </w:rPr>
        <w:t>, en fonction de l’avancement de l’opération, en un ou plusieurs versements, comme indiqué dans le contrat de financement</w:t>
      </w:r>
      <w:r w:rsidRPr="00892F92">
        <w:rPr>
          <w:rFonts w:ascii="Calibri" w:eastAsiaTheme="minorHAnsi" w:hAnsi="Calibri" w:cs="Calibri"/>
        </w:rPr>
        <w:t> </w:t>
      </w:r>
      <w:r w:rsidRPr="00892F92">
        <w:rPr>
          <w:rFonts w:eastAsiaTheme="minorHAnsi"/>
        </w:rPr>
        <w:t>sur présentation des éléments techniques et financiers notamment de l’état récapitulatif global des dépenses (ERGD).</w:t>
      </w:r>
    </w:p>
    <w:p w14:paraId="16367C27" w14:textId="77777777" w:rsidR="009002F6" w:rsidRPr="00F44CD5" w:rsidRDefault="009002F6" w:rsidP="00892F92">
      <w:pPr>
        <w:pStyle w:val="TexteCourant"/>
        <w:rPr>
          <w:rFonts w:eastAsiaTheme="minorHAnsi"/>
          <w:lang w:eastAsia="en-US"/>
        </w:rPr>
      </w:pPr>
      <w:r w:rsidRPr="00892F92">
        <w:rPr>
          <w:rFonts w:eastAsiaTheme="minorHAnsi"/>
        </w:rPr>
        <w:t>En cas de non-respect des</w:t>
      </w:r>
      <w:r w:rsidRPr="00F44CD5">
        <w:rPr>
          <w:rFonts w:eastAsiaTheme="minorHAnsi"/>
          <w:lang w:eastAsia="en-US"/>
        </w:rPr>
        <w:t xml:space="preserve"> conditions contractuelles, la restitution des aides pourra être demandée au bénéficiaire.</w:t>
      </w:r>
    </w:p>
    <w:p w14:paraId="65BD0C86" w14:textId="77777777" w:rsidR="009002F6" w:rsidRPr="00F44CD5" w:rsidRDefault="009002F6" w:rsidP="008C171D">
      <w:pPr>
        <w:spacing w:after="0"/>
        <w:jc w:val="both"/>
        <w:rPr>
          <w:rFonts w:ascii="Marianne" w:hAnsi="Marianne"/>
        </w:rPr>
      </w:pPr>
    </w:p>
    <w:p w14:paraId="2E5525C0" w14:textId="77777777" w:rsidR="00447FAD" w:rsidRPr="00F44CD5" w:rsidRDefault="00447FAD" w:rsidP="008C171D">
      <w:pPr>
        <w:spacing w:after="0"/>
        <w:jc w:val="both"/>
        <w:rPr>
          <w:rFonts w:ascii="Marianne" w:hAnsi="Marianne"/>
        </w:rPr>
      </w:pPr>
    </w:p>
    <w:p w14:paraId="2DFEDB8A" w14:textId="77777777" w:rsidR="00930297" w:rsidRPr="00F44CD5" w:rsidRDefault="00930297" w:rsidP="00892F92">
      <w:pPr>
        <w:pStyle w:val="Titre1"/>
        <w:rPr>
          <w:rFonts w:eastAsia="Times New Roman"/>
        </w:rPr>
      </w:pPr>
      <w:r w:rsidRPr="00F44CD5">
        <w:rPr>
          <w:rFonts w:eastAsia="Times New Roman"/>
        </w:rPr>
        <w:t>Engagements du bénéficiaire</w:t>
      </w:r>
    </w:p>
    <w:p w14:paraId="25390E6F" w14:textId="77777777" w:rsidR="00930297" w:rsidRPr="00F44CD5" w:rsidRDefault="00930297" w:rsidP="00892F92">
      <w:pPr>
        <w:pStyle w:val="TexteCourant"/>
      </w:pPr>
      <w:r w:rsidRPr="00F44CD5">
        <w:t>L’attribution d’une aide ADEME engage le porteur de projet à respecter certains engagements</w:t>
      </w:r>
      <w:r w:rsidRPr="00F44CD5">
        <w:rPr>
          <w:rFonts w:ascii="Calibri" w:hAnsi="Calibri" w:cs="Calibri"/>
        </w:rPr>
        <w:t> </w:t>
      </w:r>
      <w:r w:rsidRPr="00F44CD5">
        <w:t>:</w:t>
      </w:r>
    </w:p>
    <w:p w14:paraId="18EB6EE0" w14:textId="77777777" w:rsidR="00930297" w:rsidRPr="00F44CD5" w:rsidRDefault="00930297" w:rsidP="00892F92">
      <w:pPr>
        <w:pStyle w:val="Pucenoir"/>
        <w:spacing w:after="60"/>
      </w:pPr>
      <w:proofErr w:type="gramStart"/>
      <w:r w:rsidRPr="00F44CD5">
        <w:t>en</w:t>
      </w:r>
      <w:proofErr w:type="gramEnd"/>
      <w:r w:rsidRPr="00F44CD5">
        <w:t xml:space="preserve"> matière de communication</w:t>
      </w:r>
      <w:r w:rsidRPr="00F44CD5">
        <w:rPr>
          <w:rFonts w:ascii="Calibri" w:hAnsi="Calibri" w:cs="Calibri"/>
        </w:rPr>
        <w:t> </w:t>
      </w:r>
      <w:r w:rsidRPr="00F44CD5">
        <w:t>:</w:t>
      </w:r>
    </w:p>
    <w:p w14:paraId="1B0943D8" w14:textId="77777777" w:rsidR="00930297" w:rsidRPr="00F44CD5" w:rsidRDefault="00930297" w:rsidP="00930297">
      <w:pPr>
        <w:numPr>
          <w:ilvl w:val="1"/>
          <w:numId w:val="12"/>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proofErr w:type="gramStart"/>
      <w:r w:rsidRPr="00F44CD5">
        <w:rPr>
          <w:rFonts w:ascii="Marianne Light" w:eastAsia="Times New Roman" w:hAnsi="Marianne Light" w:cs="Arial"/>
          <w:kern w:val="28"/>
          <w:sz w:val="18"/>
          <w:szCs w:val="18"/>
          <w:lang w:eastAsia="fr-FR"/>
          <w14:ligatures w14:val="standard"/>
          <w14:cntxtAlts/>
        </w:rPr>
        <w:t>selon</w:t>
      </w:r>
      <w:proofErr w:type="gramEnd"/>
      <w:r w:rsidRPr="00F44CD5">
        <w:rPr>
          <w:rFonts w:ascii="Marianne Light" w:eastAsia="Times New Roman" w:hAnsi="Marianne Light" w:cs="Arial"/>
          <w:kern w:val="28"/>
          <w:sz w:val="18"/>
          <w:szCs w:val="18"/>
          <w:lang w:eastAsia="fr-FR"/>
          <w14:ligatures w14:val="standard"/>
          <w14:cntxtAlts/>
        </w:rPr>
        <w:t xml:space="preserve"> les spécifications des règles générales de l’ADEME, en vigueur au moment de la notification du contrat de financement</w:t>
      </w:r>
    </w:p>
    <w:p w14:paraId="4D7C7F59" w14:textId="77777777" w:rsidR="00930297" w:rsidRPr="00F44CD5" w:rsidRDefault="00930297" w:rsidP="00892F92">
      <w:pPr>
        <w:pStyle w:val="Pucenoir"/>
        <w:spacing w:after="60"/>
      </w:pPr>
      <w:proofErr w:type="gramStart"/>
      <w:r w:rsidRPr="00F44CD5">
        <w:t>en</w:t>
      </w:r>
      <w:proofErr w:type="gramEnd"/>
      <w:r w:rsidRPr="00F44CD5">
        <w:t xml:space="preserve"> matière de remise de rapports</w:t>
      </w:r>
      <w:r w:rsidRPr="00F44CD5">
        <w:rPr>
          <w:rFonts w:ascii="Calibri" w:hAnsi="Calibri" w:cs="Calibri"/>
        </w:rPr>
        <w:t> </w:t>
      </w:r>
      <w:r w:rsidRPr="00F44CD5">
        <w:t>:</w:t>
      </w:r>
    </w:p>
    <w:p w14:paraId="3C2E56EB" w14:textId="77777777" w:rsidR="00930297" w:rsidRPr="00F44CD5" w:rsidRDefault="00930297" w:rsidP="00892F92">
      <w:pPr>
        <w:pStyle w:val="pucerondes"/>
      </w:pPr>
      <w:proofErr w:type="gramStart"/>
      <w:r w:rsidRPr="00F44CD5">
        <w:t>d’avancement</w:t>
      </w:r>
      <w:proofErr w:type="gramEnd"/>
      <w:r w:rsidRPr="00F44CD5">
        <w:t xml:space="preserve">, le cas échéant, pendant la réalisation de l’opération, </w:t>
      </w:r>
    </w:p>
    <w:p w14:paraId="58C94A30" w14:textId="77777777" w:rsidR="00930297" w:rsidRPr="00F44CD5" w:rsidRDefault="00930297" w:rsidP="00892F92">
      <w:pPr>
        <w:pStyle w:val="pucerondes"/>
        <w:spacing w:after="120"/>
      </w:pPr>
      <w:proofErr w:type="gramStart"/>
      <w:r w:rsidRPr="00F44CD5">
        <w:t>final</w:t>
      </w:r>
      <w:proofErr w:type="gramEnd"/>
      <w:r w:rsidRPr="00F44CD5">
        <w:t xml:space="preserve">, en fin d’opération, </w:t>
      </w:r>
    </w:p>
    <w:p w14:paraId="3D3004F4" w14:textId="77777777" w:rsidR="00930297" w:rsidRPr="00F44CD5" w:rsidRDefault="00930297" w:rsidP="00892F92">
      <w:pPr>
        <w:pStyle w:val="TexteCourant"/>
      </w:pPr>
      <w:r w:rsidRPr="00F44CD5">
        <w:t xml:space="preserve">Des précisions sur le contenu et la forme des fiches de valorisation et des rapports seront précisées dans le contrat.    </w:t>
      </w:r>
    </w:p>
    <w:p w14:paraId="763AE598" w14:textId="67D4FC02" w:rsidR="00930297" w:rsidRPr="00F44CD5" w:rsidRDefault="00930297" w:rsidP="00892F92">
      <w:pPr>
        <w:pStyle w:val="TexteCourant"/>
      </w:pPr>
      <w:r w:rsidRPr="00F44CD5">
        <w:t xml:space="preserve">Des engagements spécifiques </w:t>
      </w:r>
      <w:r w:rsidR="00190523" w:rsidRPr="00F44CD5">
        <w:t xml:space="preserve">pourront </w:t>
      </w:r>
      <w:r w:rsidRPr="00F44CD5">
        <w:t>également</w:t>
      </w:r>
      <w:r w:rsidR="00190523" w:rsidRPr="00F44CD5">
        <w:t xml:space="preserve"> être</w:t>
      </w:r>
      <w:r w:rsidRPr="00F44CD5">
        <w:t xml:space="preserve"> demandés selon les dispositifs d’aide et les types d’opération</w:t>
      </w:r>
      <w:r w:rsidRPr="00F44CD5">
        <w:rPr>
          <w:rFonts w:ascii="Calibri" w:hAnsi="Calibri" w:cs="Calibri"/>
        </w:rPr>
        <w:t> </w:t>
      </w:r>
      <w:r w:rsidRPr="00F44CD5">
        <w:t xml:space="preserve">; ceux-ci sont indiqués </w:t>
      </w:r>
      <w:r w:rsidR="00190523" w:rsidRPr="00F44CD5">
        <w:t xml:space="preserve">dans le </w:t>
      </w:r>
      <w:r w:rsidRPr="00F44CD5">
        <w:t>contrat</w:t>
      </w:r>
      <w:r w:rsidR="00190523" w:rsidRPr="00F44CD5">
        <w:t xml:space="preserve"> de financement</w:t>
      </w:r>
      <w:r w:rsidRPr="00F44CD5">
        <w:t xml:space="preserve">. </w:t>
      </w:r>
    </w:p>
    <w:p w14:paraId="4C86FA12" w14:textId="77777777" w:rsidR="00930297" w:rsidRPr="00F44CD5" w:rsidRDefault="00930297" w:rsidP="00930297">
      <w:pPr>
        <w:spacing w:after="120" w:line="285" w:lineRule="auto"/>
        <w:jc w:val="both"/>
        <w:rPr>
          <w:rFonts w:ascii="Marianne" w:eastAsia="Times New Roman" w:hAnsi="Marianne" w:cs="Arial"/>
          <w:kern w:val="28"/>
          <w:sz w:val="18"/>
          <w:szCs w:val="20"/>
          <w:lang w:eastAsia="fr-FR"/>
          <w14:ligatures w14:val="standard"/>
          <w14:cntxtAlts/>
        </w:rPr>
      </w:pPr>
    </w:p>
    <w:p w14:paraId="71345622" w14:textId="77777777" w:rsidR="00930297" w:rsidRPr="00F44CD5" w:rsidRDefault="00930297" w:rsidP="00892F92">
      <w:pPr>
        <w:pStyle w:val="Titre1"/>
        <w:rPr>
          <w:rFonts w:eastAsia="Times New Roman"/>
        </w:rPr>
      </w:pPr>
      <w:r w:rsidRPr="00F44CD5">
        <w:rPr>
          <w:rFonts w:eastAsia="Times New Roman"/>
        </w:rPr>
        <w:lastRenderedPageBreak/>
        <w:t>Conditions de dépôt sur AGIR</w:t>
      </w:r>
    </w:p>
    <w:p w14:paraId="7FD94F22" w14:textId="77777777" w:rsidR="00930297" w:rsidRPr="00F44CD5"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F44CD5">
        <w:rPr>
          <w:rFonts w:ascii="Marianne Light" w:eastAsia="Times New Roman" w:hAnsi="Marianne Light" w:cs="Arial"/>
          <w:kern w:val="28"/>
          <w:sz w:val="18"/>
          <w:szCs w:val="20"/>
          <w:lang w:eastAsia="fr-FR"/>
          <w14:ligatures w14:val="standard"/>
          <w14:cntxtAlts/>
        </w:rPr>
        <w:t>Lors du dépôt de votre demande d’aide en ligne, vous serez amenés à compléter notamment les informations suivantes en les personnalisant</w:t>
      </w:r>
      <w:r w:rsidRPr="00F44CD5">
        <w:rPr>
          <w:rFonts w:ascii="Calibri" w:eastAsia="Times New Roman" w:hAnsi="Calibri" w:cs="Calibri"/>
          <w:kern w:val="28"/>
          <w:sz w:val="18"/>
          <w:szCs w:val="20"/>
          <w:lang w:eastAsia="fr-FR"/>
          <w14:ligatures w14:val="standard"/>
          <w14:cntxtAlts/>
        </w:rPr>
        <w:t> </w:t>
      </w:r>
      <w:r w:rsidRPr="00F44CD5">
        <w:rPr>
          <w:rFonts w:ascii="Marianne Light" w:eastAsia="Times New Roman" w:hAnsi="Marianne Light" w:cs="Arial"/>
          <w:kern w:val="28"/>
          <w:sz w:val="18"/>
          <w:szCs w:val="20"/>
          <w:lang w:eastAsia="fr-FR"/>
          <w14:ligatures w14:val="standard"/>
          <w14:cntxtAlts/>
        </w:rPr>
        <w:t>:</w:t>
      </w:r>
    </w:p>
    <w:p w14:paraId="4EBDC40F" w14:textId="77777777" w:rsidR="00930297" w:rsidRPr="00F44CD5" w:rsidRDefault="00930297" w:rsidP="00892F92">
      <w:pPr>
        <w:pStyle w:val="soustitre"/>
      </w:pPr>
      <w:r w:rsidRPr="00F44CD5">
        <w:t>Les éléments administratifs vous concernant</w:t>
      </w:r>
      <w:r w:rsidRPr="00F44CD5">
        <w:rPr>
          <w:rFonts w:ascii="Calibri" w:hAnsi="Calibri" w:cs="Calibri"/>
        </w:rPr>
        <w:t> </w:t>
      </w:r>
      <w:r w:rsidRPr="00F44CD5">
        <w:t xml:space="preserve"> </w:t>
      </w:r>
    </w:p>
    <w:p w14:paraId="61176543" w14:textId="77777777" w:rsidR="00930297" w:rsidRPr="00F44CD5" w:rsidRDefault="00930297" w:rsidP="00892F92">
      <w:pPr>
        <w:pStyle w:val="TexteCourant"/>
      </w:pPr>
      <w:r w:rsidRPr="00F44CD5">
        <w:t>Il conviendra de saisir en ligne les informations suivantes</w:t>
      </w:r>
      <w:r w:rsidRPr="00F44CD5">
        <w:rPr>
          <w:rFonts w:ascii="Calibri" w:hAnsi="Calibri" w:cs="Calibri"/>
        </w:rPr>
        <w:t> </w:t>
      </w:r>
      <w:r w:rsidRPr="00F44CD5">
        <w:t xml:space="preserve">: SIRET, définition PME (si concerné), noms et coordonnées (mail, téléphone) du représentant légal, du responsable technique, du responsable administratif …  </w:t>
      </w:r>
    </w:p>
    <w:p w14:paraId="5994B82B" w14:textId="77777777" w:rsidR="00930297" w:rsidRPr="00F44CD5" w:rsidRDefault="00930297" w:rsidP="00892F92">
      <w:pPr>
        <w:pStyle w:val="soustitre"/>
      </w:pPr>
      <w:r w:rsidRPr="00F44CD5">
        <w:t>La description du projet (1300 caractères espaces compris)</w:t>
      </w:r>
    </w:p>
    <w:p w14:paraId="396A3AFD" w14:textId="7F5AC516" w:rsidR="00930297" w:rsidRPr="00F44CD5" w:rsidRDefault="00930297" w:rsidP="00930297">
      <w:pPr>
        <w:spacing w:after="120" w:line="286" w:lineRule="auto"/>
        <w:rPr>
          <w:rFonts w:ascii="Marianne Light" w:eastAsia="Calibri" w:hAnsi="Marianne Light" w:cs="Arial"/>
          <w:kern w:val="28"/>
          <w:sz w:val="18"/>
          <w:szCs w:val="20"/>
          <w:highlight w:val="lightGray"/>
          <w14:ligatures w14:val="standard"/>
          <w14:cntxtAlts/>
        </w:rPr>
      </w:pPr>
      <w:r w:rsidRPr="00F44CD5">
        <w:rPr>
          <w:rFonts w:ascii="Marianne Light" w:eastAsia="Calibri" w:hAnsi="Marianne Light" w:cs="Arial"/>
          <w:kern w:val="28"/>
          <w:sz w:val="18"/>
          <w:szCs w:val="20"/>
          <w:highlight w:val="lightGray"/>
          <w14:ligatures w14:val="standard"/>
          <w14:cntxtAlts/>
        </w:rPr>
        <w:t xml:space="preserve">Présenter </w:t>
      </w:r>
      <w:r w:rsidR="00102FE9" w:rsidRPr="00F44CD5">
        <w:rPr>
          <w:rFonts w:ascii="Marianne Light" w:eastAsia="Calibri" w:hAnsi="Marianne Light" w:cs="Arial"/>
          <w:kern w:val="28"/>
          <w:sz w:val="18"/>
          <w:szCs w:val="20"/>
          <w:highlight w:val="lightGray"/>
          <w14:ligatures w14:val="standard"/>
          <w14:cntxtAlts/>
        </w:rPr>
        <w:t>le périmètre de l’étude</w:t>
      </w:r>
      <w:r w:rsidR="00102FE9" w:rsidRPr="00F44CD5">
        <w:rPr>
          <w:rFonts w:ascii="Calibri" w:eastAsia="Calibri" w:hAnsi="Calibri" w:cs="Calibri"/>
          <w:kern w:val="28"/>
          <w:sz w:val="18"/>
          <w:szCs w:val="20"/>
          <w:highlight w:val="lightGray"/>
          <w14:ligatures w14:val="standard"/>
          <w14:cntxtAlts/>
        </w:rPr>
        <w:t> </w:t>
      </w:r>
      <w:r w:rsidR="00102FE9" w:rsidRPr="00F44CD5">
        <w:rPr>
          <w:rFonts w:ascii="Marianne Light" w:eastAsia="Calibri" w:hAnsi="Marianne Light" w:cs="Arial"/>
          <w:kern w:val="28"/>
          <w:sz w:val="18"/>
          <w:szCs w:val="20"/>
          <w:highlight w:val="lightGray"/>
          <w14:ligatures w14:val="standard"/>
          <w14:cntxtAlts/>
        </w:rPr>
        <w:t>: géographique, technique, thématique, etc. et les principales taches réalisées</w:t>
      </w:r>
    </w:p>
    <w:p w14:paraId="3B65CEEE" w14:textId="77777777" w:rsidR="00930297" w:rsidRPr="00F44CD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F44CD5">
        <w:rPr>
          <w:rFonts w:ascii="Marianne Light" w:eastAsia="Times New Roman" w:hAnsi="Marianne Light" w:cs="Arial"/>
          <w:i/>
          <w:kern w:val="28"/>
          <w:sz w:val="18"/>
          <w:szCs w:val="20"/>
          <w:lang w:eastAsia="fr-FR"/>
          <w14:ligatures w14:val="standard"/>
          <w14:cntxtAlts/>
        </w:rPr>
        <w:t>Par exemple</w:t>
      </w:r>
      <w:r w:rsidRPr="00F44CD5">
        <w:rPr>
          <w:rFonts w:ascii="Calibri" w:eastAsia="Times New Roman" w:hAnsi="Calibri" w:cs="Calibri"/>
          <w:i/>
          <w:kern w:val="28"/>
          <w:sz w:val="18"/>
          <w:szCs w:val="20"/>
          <w:lang w:eastAsia="fr-FR"/>
          <w14:ligatures w14:val="standard"/>
          <w14:cntxtAlts/>
        </w:rPr>
        <w:t> </w:t>
      </w:r>
      <w:r w:rsidRPr="00F44CD5">
        <w:rPr>
          <w:rFonts w:ascii="Marianne Light" w:eastAsia="Times New Roman" w:hAnsi="Marianne Light" w:cs="Arial"/>
          <w:i/>
          <w:kern w:val="28"/>
          <w:sz w:val="18"/>
          <w:szCs w:val="20"/>
          <w:lang w:eastAsia="fr-FR"/>
          <w14:ligatures w14:val="standard"/>
          <w14:cntxtAlts/>
        </w:rPr>
        <w:t xml:space="preserve">: L’opération est portée par …. L’opération vise à étudier un projet de … à l’attention de …, située à …. Avec des résultats </w:t>
      </w:r>
      <w:proofErr w:type="gramStart"/>
      <w:r w:rsidRPr="00F44CD5">
        <w:rPr>
          <w:rFonts w:ascii="Marianne Light" w:eastAsia="Times New Roman" w:hAnsi="Marianne Light" w:cs="Arial"/>
          <w:i/>
          <w:kern w:val="28"/>
          <w:sz w:val="18"/>
          <w:szCs w:val="20"/>
          <w:lang w:eastAsia="fr-FR"/>
          <w14:ligatures w14:val="standard"/>
          <w14:cntxtAlts/>
        </w:rPr>
        <w:t>prévus  …</w:t>
      </w:r>
      <w:proofErr w:type="gramEnd"/>
      <w:r w:rsidRPr="00F44CD5">
        <w:rPr>
          <w:rFonts w:ascii="Marianne Light" w:eastAsia="Times New Roman" w:hAnsi="Marianne Light" w:cs="Arial"/>
          <w:i/>
          <w:kern w:val="28"/>
          <w:sz w:val="18"/>
          <w:szCs w:val="20"/>
          <w:lang w:eastAsia="fr-FR"/>
          <w14:ligatures w14:val="standard"/>
          <w14:cntxtAlts/>
        </w:rPr>
        <w:t xml:space="preserve">. …. Les moyens pour réaliser l’étude sont </w:t>
      </w:r>
    </w:p>
    <w:p w14:paraId="4BC06431" w14:textId="77777777" w:rsidR="00930297" w:rsidRPr="00F44CD5" w:rsidRDefault="00930297" w:rsidP="00892F92">
      <w:pPr>
        <w:pStyle w:val="soustitre"/>
      </w:pPr>
      <w:r w:rsidRPr="00F44CD5">
        <w:t>Le contexte du projet (1300 caractères espaces compris)</w:t>
      </w:r>
    </w:p>
    <w:p w14:paraId="1C54F029" w14:textId="7523D61C" w:rsidR="00B4033E" w:rsidRPr="00F44CD5" w:rsidRDefault="00B4033E" w:rsidP="00B4033E">
      <w:pPr>
        <w:spacing w:after="120" w:line="286" w:lineRule="auto"/>
        <w:rPr>
          <w:rFonts w:ascii="Marianne Light" w:eastAsia="Calibri" w:hAnsi="Marianne Light" w:cs="Arial"/>
          <w:kern w:val="28"/>
          <w:sz w:val="18"/>
          <w:szCs w:val="20"/>
          <w14:ligatures w14:val="standard"/>
          <w14:cntxtAlts/>
        </w:rPr>
      </w:pPr>
      <w:r w:rsidRPr="00F44CD5">
        <w:rPr>
          <w:rFonts w:ascii="Marianne Light" w:eastAsia="Calibri" w:hAnsi="Marianne Light" w:cs="Arial"/>
          <w:kern w:val="28"/>
          <w:sz w:val="18"/>
          <w:szCs w:val="20"/>
          <w:highlight w:val="lightGray"/>
          <w:lang w:eastAsia="fr-FR"/>
          <w14:ligatures w14:val="standard"/>
          <w14:cntxtAlts/>
        </w:rPr>
        <w:t>Décrire le contexte, citer les projets ou études antérieurs, en cours ou à venir afin de pouvoir</w:t>
      </w:r>
      <w:r w:rsidRPr="00F44CD5">
        <w:rPr>
          <w:rFonts w:ascii="Marianne Light" w:eastAsia="Calibri" w:hAnsi="Marianne Light" w:cs="Arial"/>
          <w:kern w:val="28"/>
          <w:sz w:val="18"/>
          <w:szCs w:val="20"/>
          <w:highlight w:val="lightGray"/>
          <w14:ligatures w14:val="standard"/>
          <w14:cntxtAlts/>
        </w:rPr>
        <w:t xml:space="preserve"> évaluer les liens entre projets et mieux comprendre les filiations. Indiquer ce qui vous conduit à envisager cette étude, les partenaires éventuels, le lien avec un ou des territoires.</w:t>
      </w:r>
    </w:p>
    <w:p w14:paraId="0F47E5E7" w14:textId="55125B3E" w:rsidR="00930297" w:rsidRPr="00F44CD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F44CD5">
        <w:rPr>
          <w:rFonts w:ascii="Marianne Light" w:eastAsia="Times New Roman" w:hAnsi="Marianne Light" w:cs="Arial"/>
          <w:i/>
          <w:kern w:val="28"/>
          <w:sz w:val="18"/>
          <w:szCs w:val="20"/>
          <w:lang w:eastAsia="fr-FR"/>
          <w14:ligatures w14:val="standard"/>
          <w14:cntxtAlts/>
        </w:rPr>
        <w:t>Par exemple</w:t>
      </w:r>
      <w:r w:rsidRPr="00F44CD5">
        <w:rPr>
          <w:rFonts w:ascii="Calibri" w:eastAsia="Times New Roman" w:hAnsi="Calibri" w:cs="Calibri"/>
          <w:i/>
          <w:kern w:val="28"/>
          <w:sz w:val="18"/>
          <w:szCs w:val="20"/>
          <w:lang w:eastAsia="fr-FR"/>
          <w14:ligatures w14:val="standard"/>
          <w14:cntxtAlts/>
        </w:rPr>
        <w:t> </w:t>
      </w:r>
      <w:r w:rsidRPr="00F44CD5">
        <w:rPr>
          <w:rFonts w:ascii="Marianne Light" w:eastAsia="Times New Roman" w:hAnsi="Marianne Light" w:cs="Arial"/>
          <w:i/>
          <w:kern w:val="28"/>
          <w:sz w:val="18"/>
          <w:szCs w:val="20"/>
          <w:lang w:eastAsia="fr-FR"/>
          <w14:ligatures w14:val="standard"/>
          <w14:cntxtAlts/>
        </w:rPr>
        <w:t xml:space="preserve">: </w:t>
      </w:r>
    </w:p>
    <w:p w14:paraId="544B81DE" w14:textId="77777777" w:rsidR="00930297" w:rsidRPr="00F44CD5" w:rsidRDefault="00930297" w:rsidP="00892F92">
      <w:pPr>
        <w:pStyle w:val="soustitre"/>
      </w:pPr>
      <w:r w:rsidRPr="00F44CD5">
        <w:t>Les objectifs et résultats attendus (1300 caractères maximum)</w:t>
      </w:r>
    </w:p>
    <w:p w14:paraId="6FC20F44" w14:textId="3738AD09" w:rsidR="00930297" w:rsidRPr="00F44CD5" w:rsidRDefault="00930297" w:rsidP="00930297">
      <w:pPr>
        <w:spacing w:after="120" w:line="286" w:lineRule="auto"/>
        <w:rPr>
          <w:rFonts w:ascii="Marianne Light" w:eastAsia="Calibri" w:hAnsi="Marianne Light" w:cs="Arial"/>
          <w:kern w:val="28"/>
          <w:sz w:val="18"/>
          <w:szCs w:val="20"/>
          <w14:ligatures w14:val="standard"/>
          <w14:cntxtAlts/>
        </w:rPr>
      </w:pPr>
      <w:r w:rsidRPr="00F44CD5">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F44CD5">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F44CD5">
        <w:rPr>
          <w:rFonts w:ascii="Marianne Light" w:eastAsia="Calibri" w:hAnsi="Marianne Light" w:cs="Arial"/>
          <w:kern w:val="28"/>
          <w:sz w:val="18"/>
          <w:szCs w:val="20"/>
          <w:highlight w:val="lightGray"/>
          <w14:ligatures w14:val="standard"/>
          <w14:cntxtAlts/>
        </w:rPr>
        <w:t>.</w:t>
      </w:r>
      <w:r w:rsidRPr="00F44CD5">
        <w:rPr>
          <w:rFonts w:ascii="Marianne Light" w:eastAsia="Calibri" w:hAnsi="Marianne Light" w:cs="Arial"/>
          <w:kern w:val="28"/>
          <w:sz w:val="18"/>
          <w:szCs w:val="20"/>
          <w14:ligatures w14:val="standard"/>
          <w14:cntxtAlts/>
        </w:rPr>
        <w:t xml:space="preserve"> </w:t>
      </w:r>
    </w:p>
    <w:p w14:paraId="02D099F2" w14:textId="77777777" w:rsidR="00930297" w:rsidRPr="00F44CD5"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F44CD5">
        <w:rPr>
          <w:rFonts w:ascii="Marianne Light" w:eastAsia="Times New Roman" w:hAnsi="Marianne Light" w:cs="Arial"/>
          <w:i/>
          <w:kern w:val="28"/>
          <w:sz w:val="18"/>
          <w:szCs w:val="20"/>
          <w:lang w:eastAsia="fr-FR"/>
          <w14:ligatures w14:val="standard"/>
          <w14:cntxtAlts/>
        </w:rPr>
        <w:t>Par exemple</w:t>
      </w:r>
      <w:r w:rsidRPr="00F44CD5">
        <w:rPr>
          <w:rFonts w:ascii="Calibri" w:eastAsia="Times New Roman" w:hAnsi="Calibri" w:cs="Calibri"/>
          <w:i/>
          <w:kern w:val="28"/>
          <w:sz w:val="18"/>
          <w:szCs w:val="20"/>
          <w:lang w:eastAsia="fr-FR"/>
          <w14:ligatures w14:val="standard"/>
          <w14:cntxtAlts/>
        </w:rPr>
        <w:t> </w:t>
      </w:r>
      <w:r w:rsidRPr="00F44CD5">
        <w:rPr>
          <w:rFonts w:ascii="Marianne Light" w:eastAsia="Times New Roman" w:hAnsi="Marianne Light" w:cs="Arial"/>
          <w:i/>
          <w:kern w:val="28"/>
          <w:sz w:val="18"/>
          <w:szCs w:val="20"/>
          <w:lang w:eastAsia="fr-FR"/>
          <w14:ligatures w14:val="standard"/>
          <w14:cntxtAlts/>
        </w:rPr>
        <w:t>: ….</w:t>
      </w:r>
    </w:p>
    <w:p w14:paraId="17AE7E4E" w14:textId="77777777" w:rsidR="00930297" w:rsidRPr="00F44CD5" w:rsidRDefault="00930297" w:rsidP="00892F92">
      <w:pPr>
        <w:pStyle w:val="soustitre"/>
      </w:pPr>
      <w:r w:rsidRPr="00F44CD5">
        <w:t xml:space="preserve">Le coût total puis le détail des dépenses </w:t>
      </w:r>
    </w:p>
    <w:p w14:paraId="1C304251" w14:textId="77777777" w:rsidR="00930297" w:rsidRPr="00F44CD5" w:rsidRDefault="00930297" w:rsidP="00892F92">
      <w:pPr>
        <w:pStyle w:val="TexteCourant"/>
      </w:pPr>
      <w:r w:rsidRPr="00F44CD5">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F44CD5" w:rsidRDefault="00930297" w:rsidP="00892F92">
      <w:pPr>
        <w:pStyle w:val="TexteCourant"/>
      </w:pPr>
      <w:r w:rsidRPr="00F44CD5">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F44CD5">
        <w:rPr>
          <w:rFonts w:ascii="Calibri" w:hAnsi="Calibri" w:cs="Calibri"/>
        </w:rPr>
        <w:t> </w:t>
      </w:r>
      <w:r w:rsidRPr="00F44CD5">
        <w:t>: 1 ETPT ou 10 jours ingénieur à 400€ par jour). Des détails plus précis sur vos dépenses peuvent également être précisés dans ce champ libre.</w:t>
      </w:r>
    </w:p>
    <w:p w14:paraId="2817ABBB" w14:textId="77777777" w:rsidR="00930297" w:rsidRPr="00F44CD5" w:rsidRDefault="00930297" w:rsidP="00892F92">
      <w:pPr>
        <w:pStyle w:val="TexteCourant"/>
      </w:pPr>
      <w:r w:rsidRPr="00F44CD5">
        <w:t>Seuls les champs qui vous concernent sont à saisir.</w:t>
      </w:r>
    </w:p>
    <w:p w14:paraId="2F23FB68" w14:textId="77777777" w:rsidR="00930297" w:rsidRPr="00F44CD5" w:rsidRDefault="00930297" w:rsidP="00892F92">
      <w:pPr>
        <w:pStyle w:val="TexteCourant"/>
      </w:pPr>
      <w:r w:rsidRPr="00F44CD5">
        <w:t>Nota</w:t>
      </w:r>
      <w:r w:rsidRPr="00F44CD5">
        <w:rPr>
          <w:rFonts w:ascii="Calibri" w:hAnsi="Calibri" w:cs="Calibri"/>
        </w:rPr>
        <w:t> </w:t>
      </w:r>
      <w:r w:rsidRPr="00F44CD5">
        <w:t>: certaines d</w:t>
      </w:r>
      <w:r w:rsidRPr="00F44CD5">
        <w:rPr>
          <w:rFonts w:cs="Marianne Light"/>
        </w:rPr>
        <w:t>é</w:t>
      </w:r>
      <w:r w:rsidRPr="00F44CD5">
        <w:t xml:space="preserve">penses de votre projet peuvent ne pas </w:t>
      </w:r>
      <w:r w:rsidRPr="00F44CD5">
        <w:rPr>
          <w:rFonts w:cs="Marianne Light"/>
        </w:rPr>
        <w:t>ê</w:t>
      </w:r>
      <w:r w:rsidRPr="00F44CD5">
        <w:t xml:space="preserve">tre </w:t>
      </w:r>
      <w:r w:rsidRPr="00F44CD5">
        <w:rPr>
          <w:rFonts w:cs="Marianne Light"/>
        </w:rPr>
        <w:t>é</w:t>
      </w:r>
      <w:r w:rsidRPr="00F44CD5">
        <w:t>ligibles aux aides ADEME.</w:t>
      </w:r>
    </w:p>
    <w:p w14:paraId="1270806D" w14:textId="77777777" w:rsidR="00930297" w:rsidRPr="00F44CD5" w:rsidRDefault="00930297" w:rsidP="00892F92">
      <w:pPr>
        <w:pStyle w:val="soustitre"/>
      </w:pPr>
      <w:r w:rsidRPr="00F44CD5">
        <w:lastRenderedPageBreak/>
        <w:t xml:space="preserve">Les documents que vous devez fournir pour l’instruction </w:t>
      </w:r>
    </w:p>
    <w:p w14:paraId="00FB9F8E" w14:textId="77777777" w:rsidR="00930297" w:rsidRPr="00F44CD5"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F44CD5">
        <w:rPr>
          <w:rFonts w:ascii="Marianne Light" w:eastAsia="Times New Roman" w:hAnsi="Marianne Light" w:cs="Arial"/>
          <w:kern w:val="28"/>
          <w:sz w:val="18"/>
          <w:szCs w:val="20"/>
          <w:lang w:eastAsia="fr-FR"/>
          <w14:ligatures w14:val="standard"/>
          <w14:cntxtAlts/>
        </w:rPr>
        <w:t>Vous devez fournir sur AGIR les documents suivants (le nom de fichier ne doit pas comporter plus de 100 caractères, espaces compris)</w:t>
      </w:r>
      <w:r w:rsidRPr="00F44CD5">
        <w:rPr>
          <w:rFonts w:ascii="Calibri" w:eastAsia="Times New Roman" w:hAnsi="Calibri" w:cs="Calibri"/>
          <w:kern w:val="28"/>
          <w:sz w:val="18"/>
          <w:szCs w:val="20"/>
          <w:lang w:eastAsia="fr-FR"/>
          <w14:ligatures w14:val="standard"/>
          <w14:cntxtAlts/>
        </w:rPr>
        <w:t> </w:t>
      </w:r>
      <w:r w:rsidRPr="00F44CD5">
        <w:rPr>
          <w:rFonts w:ascii="Marianne Light" w:eastAsia="Times New Roman" w:hAnsi="Marianne Light" w:cs="Arial"/>
          <w:kern w:val="28"/>
          <w:sz w:val="18"/>
          <w:szCs w:val="20"/>
          <w:lang w:eastAsia="fr-FR"/>
          <w14:ligatures w14:val="standard"/>
          <w14:cntxtAlts/>
        </w:rPr>
        <w:t>:</w:t>
      </w:r>
    </w:p>
    <w:p w14:paraId="51CCF7FA" w14:textId="77777777" w:rsidR="005D04C6" w:rsidRPr="00F44CD5" w:rsidRDefault="005D04C6" w:rsidP="00892F92">
      <w:pPr>
        <w:pStyle w:val="Pucenoir"/>
      </w:pPr>
      <w:r w:rsidRPr="00F44CD5">
        <w:t>La proposition technique et financière du bureau d’étude le cas échéant</w:t>
      </w:r>
    </w:p>
    <w:p w14:paraId="3F521BD8" w14:textId="77777777" w:rsidR="005D04C6" w:rsidRPr="00F44CD5" w:rsidRDefault="005D04C6" w:rsidP="00892F92">
      <w:pPr>
        <w:pStyle w:val="Pucenoir"/>
      </w:pPr>
      <w:r w:rsidRPr="00F44CD5">
        <w:t xml:space="preserve">Les documents demandés dans la liste des pièces à joindre du dispositif d’aide de la plateforme AGIR. </w:t>
      </w:r>
    </w:p>
    <w:p w14:paraId="4C030822" w14:textId="77777777" w:rsidR="005D04C6" w:rsidRPr="00F44CD5" w:rsidRDefault="005D04C6" w:rsidP="00892F92">
      <w:pPr>
        <w:pStyle w:val="Pucenoir"/>
      </w:pPr>
      <w:r w:rsidRPr="00F44CD5">
        <w:t>Les documents, à la convenance du porteur de projet, illustrant et argumentant sa demande.</w:t>
      </w:r>
    </w:p>
    <w:p w14:paraId="3CB980CC" w14:textId="77777777" w:rsidR="00930297" w:rsidRPr="00F44CD5" w:rsidRDefault="00930297" w:rsidP="00930297">
      <w:pPr>
        <w:ind w:left="720" w:hanging="360"/>
        <w:contextualSpacing/>
        <w:rPr>
          <w:rFonts w:ascii="Marianne Light" w:eastAsia="Calibri" w:hAnsi="Marianne Light" w:cs="Times New Roman"/>
          <w:sz w:val="18"/>
          <w:szCs w:val="18"/>
          <w:lang w:eastAsia="fr-FR"/>
        </w:rPr>
      </w:pPr>
    </w:p>
    <w:p w14:paraId="338EF876" w14:textId="77777777" w:rsidR="00930297" w:rsidRPr="00F44CD5" w:rsidRDefault="00930297" w:rsidP="00930297">
      <w:pPr>
        <w:contextualSpacing/>
        <w:rPr>
          <w:rFonts w:ascii="Marianne Light" w:eastAsia="Calibri" w:hAnsi="Marianne Light" w:cs="Times New Roman"/>
          <w:sz w:val="18"/>
          <w:szCs w:val="18"/>
          <w:lang w:eastAsia="fr-FR"/>
        </w:rPr>
      </w:pPr>
      <w:r w:rsidRPr="00F44CD5">
        <w:rPr>
          <w:rFonts w:ascii="Marianne Light" w:eastAsia="Calibri" w:hAnsi="Marianne Light"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77777777" w:rsidR="00930297" w:rsidRPr="00F44CD5" w:rsidRDefault="00930297" w:rsidP="00930297">
      <w:pPr>
        <w:spacing w:after="120" w:line="285" w:lineRule="auto"/>
        <w:rPr>
          <w:rFonts w:ascii="Marianne Light" w:eastAsia="Times New Roman" w:hAnsi="Marianne Light" w:cs="Times New Roman"/>
          <w:kern w:val="28"/>
          <w:sz w:val="20"/>
          <w:szCs w:val="20"/>
          <w:lang w:eastAsia="fr-FR"/>
          <w14:ligatures w14:val="standard"/>
          <w14:cntxtAlts/>
        </w:rPr>
      </w:pPr>
    </w:p>
    <w:p w14:paraId="0E7A4969" w14:textId="77777777" w:rsidR="00930297" w:rsidRPr="00F44CD5" w:rsidRDefault="00930297" w:rsidP="00892F92">
      <w:pPr>
        <w:pStyle w:val="Titre1"/>
        <w:rPr>
          <w:rFonts w:eastAsia="Times New Roman"/>
          <w:u w:val="single"/>
        </w:rPr>
      </w:pPr>
      <w:r w:rsidRPr="00F44CD5">
        <w:rPr>
          <w:rFonts w:eastAsia="Times New Roman"/>
        </w:rPr>
        <w:t>En savoir plus</w:t>
      </w:r>
    </w:p>
    <w:p w14:paraId="79FE85B6" w14:textId="77777777" w:rsidR="000171FF" w:rsidRPr="00192083" w:rsidRDefault="00411134" w:rsidP="00F44CD5">
      <w:pPr>
        <w:pStyle w:val="Paragraphedeliste"/>
        <w:numPr>
          <w:ilvl w:val="0"/>
          <w:numId w:val="29"/>
        </w:numPr>
        <w:jc w:val="both"/>
        <w:rPr>
          <w:rFonts w:ascii="Marianne Light" w:hAnsi="Marianne Light" w:cs="Arial"/>
          <w:sz w:val="18"/>
          <w:szCs w:val="18"/>
        </w:rPr>
      </w:pPr>
      <w:hyperlink r:id="rId12" w:history="1">
        <w:r w:rsidR="000171FF" w:rsidRPr="00192083">
          <w:rPr>
            <w:rStyle w:val="Lienhypertexte"/>
            <w:rFonts w:ascii="Marianne Light" w:eastAsiaTheme="majorEastAsia" w:hAnsi="Marianne Light" w:cs="Arial"/>
            <w:sz w:val="18"/>
            <w:szCs w:val="18"/>
          </w:rPr>
          <w:t>Rubrique fiscalité sur le site du ministère de la Transition écologique et solidaire</w:t>
        </w:r>
      </w:hyperlink>
      <w:r w:rsidR="000171FF" w:rsidRPr="00192083" w:rsidDel="006722BD">
        <w:rPr>
          <w:rFonts w:ascii="Marianne Light" w:hAnsi="Marianne Light" w:cs="Arial"/>
          <w:sz w:val="18"/>
          <w:szCs w:val="18"/>
        </w:rPr>
        <w:t xml:space="preserve"> </w:t>
      </w:r>
    </w:p>
    <w:p w14:paraId="608D464B" w14:textId="21D6EE4F" w:rsidR="000171FF" w:rsidRPr="00EA0411" w:rsidRDefault="00EA0411" w:rsidP="00F44CD5">
      <w:pPr>
        <w:pStyle w:val="Paragraphedeliste"/>
        <w:numPr>
          <w:ilvl w:val="0"/>
          <w:numId w:val="29"/>
        </w:numPr>
        <w:jc w:val="both"/>
        <w:rPr>
          <w:rStyle w:val="Lienhypertexte"/>
          <w:rFonts w:ascii="Marianne Light" w:hAnsi="Marianne Light" w:cs="Arial"/>
          <w:sz w:val="18"/>
          <w:szCs w:val="18"/>
        </w:rPr>
      </w:pPr>
      <w:r w:rsidRPr="001E1FB4">
        <w:rPr>
          <w:rFonts w:ascii="Marianne Light" w:eastAsiaTheme="majorEastAsia" w:hAnsi="Marianne Light" w:cs="Arial"/>
          <w:sz w:val="18"/>
          <w:szCs w:val="18"/>
        </w:rPr>
        <w:fldChar w:fldCharType="begin"/>
      </w:r>
      <w:r>
        <w:rPr>
          <w:rFonts w:ascii="Marianne Light" w:eastAsiaTheme="majorEastAsia" w:hAnsi="Marianne Light" w:cs="Arial"/>
          <w:sz w:val="18"/>
          <w:szCs w:val="18"/>
        </w:rPr>
        <w:instrText>HYPERLINK "https://optigede.ademe.fr/outils-pour-les-collectivites/optimiser-le-service-public/tarification-incitative/tarification"</w:instrText>
      </w:r>
      <w:r w:rsidRPr="001E1FB4">
        <w:rPr>
          <w:rFonts w:ascii="Marianne Light" w:eastAsiaTheme="majorEastAsia" w:hAnsi="Marianne Light" w:cs="Arial"/>
          <w:sz w:val="18"/>
          <w:szCs w:val="18"/>
        </w:rPr>
      </w:r>
      <w:r w:rsidRPr="001E1FB4">
        <w:rPr>
          <w:rFonts w:ascii="Marianne Light" w:eastAsiaTheme="majorEastAsia" w:hAnsi="Marianne Light" w:cs="Arial"/>
          <w:sz w:val="18"/>
          <w:szCs w:val="18"/>
        </w:rPr>
        <w:fldChar w:fldCharType="separate"/>
      </w:r>
      <w:r w:rsidR="000171FF" w:rsidRPr="00EA0411">
        <w:rPr>
          <w:rStyle w:val="Lienhypertexte"/>
          <w:rFonts w:ascii="Marianne Light" w:eastAsiaTheme="majorEastAsia" w:hAnsi="Marianne Light" w:cs="Arial"/>
          <w:sz w:val="18"/>
          <w:szCs w:val="18"/>
        </w:rPr>
        <w:t>Outils et retours d’expériences sur le site OPTIGEDE</w:t>
      </w:r>
      <w:r w:rsidR="000171FF" w:rsidRPr="00EA0411">
        <w:rPr>
          <w:rStyle w:val="Lienhypertexte"/>
          <w:rFonts w:ascii="Marianne Light" w:hAnsi="Marianne Light" w:cs="Arial"/>
          <w:sz w:val="18"/>
          <w:szCs w:val="18"/>
        </w:rPr>
        <w:t xml:space="preserve"> </w:t>
      </w:r>
    </w:p>
    <w:p w14:paraId="5AD27E58" w14:textId="34783650" w:rsidR="00930297" w:rsidRPr="001E1FB4" w:rsidRDefault="00EA0411" w:rsidP="00D55A11">
      <w:pPr>
        <w:pStyle w:val="Paragraphedeliste"/>
        <w:numPr>
          <w:ilvl w:val="0"/>
          <w:numId w:val="29"/>
        </w:num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1E1FB4">
        <w:rPr>
          <w:rFonts w:ascii="Marianne Light" w:eastAsiaTheme="majorEastAsia" w:hAnsi="Marianne Light" w:cs="Arial"/>
          <w:sz w:val="18"/>
          <w:szCs w:val="18"/>
        </w:rPr>
        <w:fldChar w:fldCharType="end"/>
      </w:r>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14BAE5C1">
                <wp:simplePos x="0" y="0"/>
                <wp:positionH relativeFrom="margin">
                  <wp:posOffset>-5080</wp:posOffset>
                </wp:positionH>
                <wp:positionV relativeFrom="paragraph">
                  <wp:posOffset>333375</wp:posOffset>
                </wp:positionV>
                <wp:extent cx="6372225" cy="276225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62250"/>
                        </a:xfrm>
                        <a:prstGeom prst="rect">
                          <a:avLst/>
                        </a:prstGeom>
                        <a:solidFill>
                          <a:srgbClr val="FFFFFF"/>
                        </a:solidFill>
                        <a:ln w="9525">
                          <a:solidFill>
                            <a:srgbClr val="000000"/>
                          </a:solidFill>
                          <a:miter lim="800000"/>
                          <a:headEnd/>
                          <a:tailEnd/>
                        </a:ln>
                      </wps:spPr>
                      <wps:txbx>
                        <w:txbxContent>
                          <w:p w14:paraId="6DD07383" w14:textId="690F1488"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En application des articles L. 131-3 à L.131-7 et R.131-1 à R.131-26</w:t>
                            </w:r>
                            <w:r w:rsidR="004D30C6">
                              <w:rPr>
                                <w:rFonts w:ascii="Marianne Light" w:hAnsi="Marianne Light" w:cs="Arial"/>
                                <w:sz w:val="18"/>
                                <w:szCs w:val="18"/>
                              </w:rPr>
                              <w:t>-4</w:t>
                            </w:r>
                            <w:r w:rsidRPr="00F44CD5">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075F4D6" w14:textId="6061A645" w:rsidR="00D27293" w:rsidRDefault="00930297" w:rsidP="00930297">
                            <w:pPr>
                              <w:spacing w:line="360" w:lineRule="auto"/>
                            </w:pPr>
                            <w:r w:rsidRPr="00F44CD5">
                              <w:rPr>
                                <w:rFonts w:ascii="Marianne Light" w:hAnsi="Marianne Light" w:cs="Arial"/>
                                <w:sz w:val="18"/>
                                <w:szCs w:val="18"/>
                              </w:rPr>
                              <w:t xml:space="preserve">Les dispositions des </w:t>
                            </w:r>
                            <w:r w:rsidR="004D30C6">
                              <w:rPr>
                                <w:rFonts w:ascii="Marianne Light" w:hAnsi="Marianne Light" w:cs="Arial"/>
                                <w:sz w:val="18"/>
                                <w:szCs w:val="18"/>
                              </w:rPr>
                              <w:t>R</w:t>
                            </w:r>
                            <w:r w:rsidRPr="00F44CD5">
                              <w:rPr>
                                <w:rFonts w:ascii="Marianne Light" w:hAnsi="Marianne Light" w:cs="Arial"/>
                                <w:sz w:val="18"/>
                                <w:szCs w:val="18"/>
                              </w:rPr>
                              <w:t xml:space="preserve">ègles générales d’attribution des aides de l’ADEME sont disponibles sur le site internet de l’ADEME à l’adresse suivante : </w:t>
                            </w:r>
                            <w:hyperlink r:id="rId13" w:history="1">
                              <w:r w:rsidR="00D27293" w:rsidRPr="006A649B">
                                <w:rPr>
                                  <w:rStyle w:val="Lienhypertexte"/>
                                </w:rPr>
                                <w:t>https://www.ademe.fr/nos-missions/financement/</w:t>
                              </w:r>
                            </w:hyperlink>
                          </w:p>
                          <w:p w14:paraId="37B98E4A" w14:textId="01855801" w:rsidR="00930297" w:rsidRPr="00F44CD5" w:rsidRDefault="00930297" w:rsidP="00930297">
                            <w:pPr>
                              <w:spacing w:line="360" w:lineRule="auto"/>
                              <w:rPr>
                                <w:rFonts w:ascii="Marianne Light" w:hAnsi="Marianne Ligh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4pt;margin-top:26.25pt;width:501.75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">
                <v:textbox>
                  <w:txbxContent>
                    <w:p w14:paraId="6DD07383" w14:textId="690F1488"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En application des articles L. 131-3 à L.131-7 et R.131-1 à R.131-26</w:t>
                      </w:r>
                      <w:r w:rsidR="004D30C6">
                        <w:rPr>
                          <w:rFonts w:ascii="Marianne Light" w:hAnsi="Marianne Light" w:cs="Arial"/>
                          <w:sz w:val="18"/>
                          <w:szCs w:val="18"/>
                        </w:rPr>
                        <w:t>-4</w:t>
                      </w:r>
                      <w:r w:rsidRPr="00F44CD5">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F44CD5" w:rsidRDefault="00930297" w:rsidP="00930297">
                      <w:pPr>
                        <w:spacing w:line="360" w:lineRule="auto"/>
                        <w:rPr>
                          <w:rFonts w:ascii="Marianne Light" w:hAnsi="Marianne Light" w:cs="Arial"/>
                          <w:sz w:val="18"/>
                          <w:szCs w:val="18"/>
                        </w:rPr>
                      </w:pPr>
                      <w:r w:rsidRPr="00F44CD5">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0075F4D6" w14:textId="6061A645" w:rsidR="00D27293" w:rsidRDefault="00930297" w:rsidP="00930297">
                      <w:pPr>
                        <w:spacing w:line="360" w:lineRule="auto"/>
                      </w:pPr>
                      <w:r w:rsidRPr="00F44CD5">
                        <w:rPr>
                          <w:rFonts w:ascii="Marianne Light" w:hAnsi="Marianne Light" w:cs="Arial"/>
                          <w:sz w:val="18"/>
                          <w:szCs w:val="18"/>
                        </w:rPr>
                        <w:t xml:space="preserve">Les dispositions des </w:t>
                      </w:r>
                      <w:r w:rsidR="004D30C6">
                        <w:rPr>
                          <w:rFonts w:ascii="Marianne Light" w:hAnsi="Marianne Light" w:cs="Arial"/>
                          <w:sz w:val="18"/>
                          <w:szCs w:val="18"/>
                        </w:rPr>
                        <w:t>R</w:t>
                      </w:r>
                      <w:r w:rsidRPr="00F44CD5">
                        <w:rPr>
                          <w:rFonts w:ascii="Marianne Light" w:hAnsi="Marianne Light" w:cs="Arial"/>
                          <w:sz w:val="18"/>
                          <w:szCs w:val="18"/>
                        </w:rPr>
                        <w:t xml:space="preserve">ègles générales d’attribution des aides de l’ADEME sont disponibles sur le site internet de l’ADEME à l’adresse suivante : </w:t>
                      </w:r>
                      <w:hyperlink r:id="rId14" w:history="1">
                        <w:r w:rsidR="00D27293" w:rsidRPr="006A649B">
                          <w:rPr>
                            <w:rStyle w:val="Lienhypertexte"/>
                          </w:rPr>
                          <w:t>https://www.ademe.fr/nos-missions/financement/</w:t>
                        </w:r>
                      </w:hyperlink>
                    </w:p>
                    <w:p w14:paraId="37B98E4A" w14:textId="01855801" w:rsidR="00930297" w:rsidRPr="00F44CD5" w:rsidRDefault="00930297" w:rsidP="00930297">
                      <w:pPr>
                        <w:spacing w:line="360" w:lineRule="auto"/>
                        <w:rPr>
                          <w:rFonts w:ascii="Marianne Light" w:hAnsi="Marianne Light" w:cs="Arial"/>
                          <w:sz w:val="18"/>
                          <w:szCs w:val="18"/>
                        </w:rPr>
                      </w:pP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892F92">
      <w:footerReference w:type="default" r:id="rId15"/>
      <w:headerReference w:type="first" r:id="rId16"/>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0484" w14:textId="77777777" w:rsidR="003B2922" w:rsidRDefault="003B2922" w:rsidP="00283FDE">
      <w:pPr>
        <w:spacing w:after="0" w:line="240" w:lineRule="auto"/>
      </w:pPr>
      <w:r>
        <w:separator/>
      </w:r>
    </w:p>
  </w:endnote>
  <w:endnote w:type="continuationSeparator" w:id="0">
    <w:p w14:paraId="274AE7AD" w14:textId="77777777" w:rsidR="003B2922" w:rsidRDefault="003B2922"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3474" w14:textId="0C834614" w:rsidR="00892F92" w:rsidRDefault="00892F92" w:rsidP="00892F92">
    <w:pPr>
      <w:pStyle w:val="Pieddepage"/>
      <w:jc w:val="right"/>
      <w:rPr>
        <w:rFonts w:ascii="Marianne" w:hAnsi="Marianne"/>
        <w:sz w:val="16"/>
        <w:szCs w:val="16"/>
      </w:rPr>
    </w:pPr>
    <w:r>
      <w:rPr>
        <w:rFonts w:ascii="Marianne Light" w:hAnsi="Marianne Light"/>
        <w:sz w:val="16"/>
        <w:szCs w:val="16"/>
      </w:rPr>
      <w:t>Etudes préparatoires à la mise en œuvre de la tarification incitative du service public Déchets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065EBD">
      <w:rPr>
        <w:rFonts w:ascii="Marianne" w:hAnsi="Marianne"/>
        <w:noProof/>
        <w:sz w:val="16"/>
        <w:szCs w:val="16"/>
      </w:rPr>
      <w:t>6</w:t>
    </w:r>
    <w:r w:rsidRPr="0038673F">
      <w:rPr>
        <w:rFonts w:ascii="Marianne" w:hAnsi="Marianne"/>
        <w:sz w:val="16"/>
        <w:szCs w:val="16"/>
      </w:rPr>
      <w:fldChar w:fldCharType="end"/>
    </w:r>
    <w:r w:rsidRPr="0038673F">
      <w:rPr>
        <w:rFonts w:ascii="Marianne" w:hAnsi="Marianne"/>
        <w:sz w:val="16"/>
        <w:szCs w:val="16"/>
      </w:rPr>
      <w:t xml:space="preserve"> I</w:t>
    </w:r>
  </w:p>
  <w:p w14:paraId="37A96149" w14:textId="02C87CA0" w:rsidR="00892F92" w:rsidRDefault="00892F92" w:rsidP="00892F9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3B138CA" wp14:editId="10DC605F">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A90F7F">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EEDF" w14:textId="77777777" w:rsidR="003B2922" w:rsidRDefault="003B2922" w:rsidP="00283FDE">
      <w:pPr>
        <w:spacing w:after="0" w:line="240" w:lineRule="auto"/>
      </w:pPr>
      <w:r>
        <w:separator/>
      </w:r>
    </w:p>
  </w:footnote>
  <w:footnote w:type="continuationSeparator" w:id="0">
    <w:p w14:paraId="6AFB2BD5" w14:textId="77777777" w:rsidR="003B2922" w:rsidRDefault="003B2922" w:rsidP="0028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8ECF" w14:textId="60975FF8" w:rsidR="00F0602B" w:rsidRDefault="00F0602B">
    <w:pPr>
      <w:pStyle w:val="En-tte"/>
    </w:pPr>
    <w:r w:rsidRPr="00F0602B">
      <w:rPr>
        <w:noProof/>
        <w:lang w:eastAsia="fr-FR"/>
      </w:rPr>
      <w:drawing>
        <wp:anchor distT="0" distB="0" distL="114300" distR="114300" simplePos="0" relativeHeight="251660288" behindDoc="1" locked="0" layoutInCell="1" allowOverlap="1" wp14:anchorId="6A8F5EE4" wp14:editId="08340F1C">
          <wp:simplePos x="0" y="0"/>
          <wp:positionH relativeFrom="page">
            <wp:posOffset>13970</wp:posOffset>
          </wp:positionH>
          <wp:positionV relativeFrom="paragraph">
            <wp:posOffset>-438785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602B">
      <w:rPr>
        <w:noProof/>
        <w:lang w:eastAsia="fr-FR"/>
      </w:rPr>
      <mc:AlternateContent>
        <mc:Choice Requires="wps">
          <w:drawing>
            <wp:anchor distT="0" distB="0" distL="114300" distR="114300" simplePos="0" relativeHeight="251659264" behindDoc="0" locked="0" layoutInCell="1" allowOverlap="1" wp14:anchorId="186C096D" wp14:editId="66BEE34C">
              <wp:simplePos x="0" y="0"/>
              <wp:positionH relativeFrom="margin">
                <wp:posOffset>-273685</wp:posOffset>
              </wp:positionH>
              <wp:positionV relativeFrom="paragraph">
                <wp:posOffset>1040765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D38EC" id="Rectangle 2" o:spid="_x0000_s1026" style="position:absolute;margin-left:-21.55pt;margin-top:81.9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4B7419C"/>
    <w:multiLevelType w:val="hybridMultilevel"/>
    <w:tmpl w:val="785E32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E1B38"/>
    <w:multiLevelType w:val="multilevel"/>
    <w:tmpl w:val="7C4831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601F9B"/>
    <w:multiLevelType w:val="hybridMultilevel"/>
    <w:tmpl w:val="721CFF3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357D37"/>
    <w:multiLevelType w:val="hybridMultilevel"/>
    <w:tmpl w:val="D86419C8"/>
    <w:lvl w:ilvl="0" w:tplc="6C3A755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62469D1"/>
    <w:multiLevelType w:val="hybridMultilevel"/>
    <w:tmpl w:val="80329F3C"/>
    <w:lvl w:ilvl="0" w:tplc="3A58CFBA">
      <w:start w:val="1"/>
      <w:numFmt w:val="bullet"/>
      <w:pStyle w:val="pucerondes"/>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5988745A"/>
    <w:multiLevelType w:val="hybridMultilevel"/>
    <w:tmpl w:val="FD868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E1B32"/>
    <w:multiLevelType w:val="multilevel"/>
    <w:tmpl w:val="E0E0948C"/>
    <w:lvl w:ilvl="0">
      <w:start w:val="1"/>
      <w:numFmt w:val="decimal"/>
      <w:lvlText w:val="%1"/>
      <w:lvlJc w:val="left"/>
      <w:pPr>
        <w:ind w:left="360" w:hanging="360"/>
      </w:pPr>
      <w:rPr>
        <w:rFonts w:hint="default"/>
      </w:rPr>
    </w:lvl>
    <w:lvl w:ilvl="1">
      <w:start w:val="1"/>
      <w:numFmt w:val="decimal"/>
      <w:pStyle w:val="11soustitre"/>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5"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26"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306BA3"/>
    <w:multiLevelType w:val="hybridMultilevel"/>
    <w:tmpl w:val="3E7ECD06"/>
    <w:lvl w:ilvl="0" w:tplc="81C85632">
      <w:numFmt w:val="decimal"/>
      <w:pStyle w:val="Titre1"/>
      <w:lvlText w:val="%1."/>
      <w:lvlJc w:val="left"/>
      <w:pPr>
        <w:ind w:left="720" w:hanging="360"/>
      </w:pPr>
      <w:rPr>
        <w:rFonts w:hint="default"/>
        <w:color w:val="auto"/>
        <w:u w:color="810F3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3759097">
    <w:abstractNumId w:val="31"/>
  </w:num>
  <w:num w:numId="2" w16cid:durableId="764619251">
    <w:abstractNumId w:val="6"/>
  </w:num>
  <w:num w:numId="3" w16cid:durableId="1840384132">
    <w:abstractNumId w:val="26"/>
  </w:num>
  <w:num w:numId="4" w16cid:durableId="112749057">
    <w:abstractNumId w:val="18"/>
  </w:num>
  <w:num w:numId="5" w16cid:durableId="276062816">
    <w:abstractNumId w:val="4"/>
  </w:num>
  <w:num w:numId="6" w16cid:durableId="1661544328">
    <w:abstractNumId w:val="8"/>
  </w:num>
  <w:num w:numId="7" w16cid:durableId="1618173481">
    <w:abstractNumId w:val="1"/>
  </w:num>
  <w:num w:numId="8" w16cid:durableId="1281718687">
    <w:abstractNumId w:val="29"/>
  </w:num>
  <w:num w:numId="9" w16cid:durableId="1028919504">
    <w:abstractNumId w:val="13"/>
  </w:num>
  <w:num w:numId="10" w16cid:durableId="1647201130">
    <w:abstractNumId w:val="22"/>
  </w:num>
  <w:num w:numId="11" w16cid:durableId="301425097">
    <w:abstractNumId w:val="2"/>
  </w:num>
  <w:num w:numId="12" w16cid:durableId="653534050">
    <w:abstractNumId w:val="30"/>
  </w:num>
  <w:num w:numId="13" w16cid:durableId="249194160">
    <w:abstractNumId w:val="3"/>
  </w:num>
  <w:num w:numId="14" w16cid:durableId="51543285">
    <w:abstractNumId w:val="11"/>
  </w:num>
  <w:num w:numId="15" w16cid:durableId="2066030657">
    <w:abstractNumId w:val="5"/>
  </w:num>
  <w:num w:numId="16" w16cid:durableId="1397705169">
    <w:abstractNumId w:val="31"/>
  </w:num>
  <w:num w:numId="17" w16cid:durableId="1296256620">
    <w:abstractNumId w:val="24"/>
  </w:num>
  <w:num w:numId="18" w16cid:durableId="1123959820">
    <w:abstractNumId w:val="0"/>
  </w:num>
  <w:num w:numId="19" w16cid:durableId="413476668">
    <w:abstractNumId w:val="7"/>
  </w:num>
  <w:num w:numId="20" w16cid:durableId="1933778073">
    <w:abstractNumId w:val="16"/>
  </w:num>
  <w:num w:numId="21" w16cid:durableId="1789272851">
    <w:abstractNumId w:val="10"/>
  </w:num>
  <w:num w:numId="22" w16cid:durableId="1217744545">
    <w:abstractNumId w:val="28"/>
  </w:num>
  <w:num w:numId="23" w16cid:durableId="1520391971">
    <w:abstractNumId w:val="23"/>
  </w:num>
  <w:num w:numId="24" w16cid:durableId="1040277129">
    <w:abstractNumId w:val="15"/>
  </w:num>
  <w:num w:numId="25" w16cid:durableId="1583758512">
    <w:abstractNumId w:val="17"/>
  </w:num>
  <w:num w:numId="26" w16cid:durableId="1943415145">
    <w:abstractNumId w:val="14"/>
  </w:num>
  <w:num w:numId="27" w16cid:durableId="1174028104">
    <w:abstractNumId w:val="25"/>
  </w:num>
  <w:num w:numId="28" w16cid:durableId="2017533930">
    <w:abstractNumId w:val="9"/>
  </w:num>
  <w:num w:numId="29" w16cid:durableId="1635714977">
    <w:abstractNumId w:val="12"/>
  </w:num>
  <w:num w:numId="30" w16cid:durableId="794370601">
    <w:abstractNumId w:val="19"/>
  </w:num>
  <w:num w:numId="31" w16cid:durableId="668944974">
    <w:abstractNumId w:val="21"/>
  </w:num>
  <w:num w:numId="32" w16cid:durableId="289867250">
    <w:abstractNumId w:val="27"/>
  </w:num>
  <w:num w:numId="33" w16cid:durableId="2090493122">
    <w:abstractNumId w:val="21"/>
  </w:num>
  <w:num w:numId="34" w16cid:durableId="112296157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95242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9098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27275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171FF"/>
    <w:rsid w:val="00064685"/>
    <w:rsid w:val="00065EBD"/>
    <w:rsid w:val="00076A4E"/>
    <w:rsid w:val="00086FAE"/>
    <w:rsid w:val="000C4656"/>
    <w:rsid w:val="00102FE9"/>
    <w:rsid w:val="00124B96"/>
    <w:rsid w:val="00190523"/>
    <w:rsid w:val="0019339A"/>
    <w:rsid w:val="001B634F"/>
    <w:rsid w:val="001E1FB4"/>
    <w:rsid w:val="001F2FD9"/>
    <w:rsid w:val="001F593F"/>
    <w:rsid w:val="00282168"/>
    <w:rsid w:val="00283FDE"/>
    <w:rsid w:val="002A2CAF"/>
    <w:rsid w:val="002A3DD6"/>
    <w:rsid w:val="002B0351"/>
    <w:rsid w:val="00326DE8"/>
    <w:rsid w:val="00361E13"/>
    <w:rsid w:val="003741DD"/>
    <w:rsid w:val="003A2898"/>
    <w:rsid w:val="003A79EC"/>
    <w:rsid w:val="003B2922"/>
    <w:rsid w:val="003C43CA"/>
    <w:rsid w:val="003E7C21"/>
    <w:rsid w:val="0040650E"/>
    <w:rsid w:val="00411134"/>
    <w:rsid w:val="0041207D"/>
    <w:rsid w:val="004247BA"/>
    <w:rsid w:val="00446530"/>
    <w:rsid w:val="00446F7C"/>
    <w:rsid w:val="00447FAD"/>
    <w:rsid w:val="00456CE5"/>
    <w:rsid w:val="00457448"/>
    <w:rsid w:val="00466049"/>
    <w:rsid w:val="004B1F15"/>
    <w:rsid w:val="004D30C6"/>
    <w:rsid w:val="00521A02"/>
    <w:rsid w:val="0057470A"/>
    <w:rsid w:val="005B4A19"/>
    <w:rsid w:val="005B69FE"/>
    <w:rsid w:val="005D04C6"/>
    <w:rsid w:val="005F33DC"/>
    <w:rsid w:val="00602D9D"/>
    <w:rsid w:val="00614B9F"/>
    <w:rsid w:val="00626022"/>
    <w:rsid w:val="00644642"/>
    <w:rsid w:val="0065520F"/>
    <w:rsid w:val="0066144D"/>
    <w:rsid w:val="00692311"/>
    <w:rsid w:val="006A48D4"/>
    <w:rsid w:val="006B46E3"/>
    <w:rsid w:val="006E0C5E"/>
    <w:rsid w:val="006F4166"/>
    <w:rsid w:val="006F6C01"/>
    <w:rsid w:val="0072137B"/>
    <w:rsid w:val="00737EB8"/>
    <w:rsid w:val="00741DCB"/>
    <w:rsid w:val="00762DCD"/>
    <w:rsid w:val="00770F45"/>
    <w:rsid w:val="007A7025"/>
    <w:rsid w:val="007B3EAB"/>
    <w:rsid w:val="007B455E"/>
    <w:rsid w:val="007C7DD8"/>
    <w:rsid w:val="007D00C5"/>
    <w:rsid w:val="007F45BA"/>
    <w:rsid w:val="008057E4"/>
    <w:rsid w:val="0084360F"/>
    <w:rsid w:val="008460A4"/>
    <w:rsid w:val="00891FC8"/>
    <w:rsid w:val="00892F92"/>
    <w:rsid w:val="00896CE9"/>
    <w:rsid w:val="008B1ADC"/>
    <w:rsid w:val="008C171D"/>
    <w:rsid w:val="009002F6"/>
    <w:rsid w:val="00930297"/>
    <w:rsid w:val="00936F9D"/>
    <w:rsid w:val="00943ED0"/>
    <w:rsid w:val="009442C0"/>
    <w:rsid w:val="00986DA3"/>
    <w:rsid w:val="009C6D7A"/>
    <w:rsid w:val="00A124AA"/>
    <w:rsid w:val="00A90F7F"/>
    <w:rsid w:val="00AA1829"/>
    <w:rsid w:val="00AC7CD0"/>
    <w:rsid w:val="00B26B83"/>
    <w:rsid w:val="00B4033E"/>
    <w:rsid w:val="00B5036D"/>
    <w:rsid w:val="00B53FEA"/>
    <w:rsid w:val="00B73FD1"/>
    <w:rsid w:val="00BD709C"/>
    <w:rsid w:val="00C37DAF"/>
    <w:rsid w:val="00C74260"/>
    <w:rsid w:val="00D13660"/>
    <w:rsid w:val="00D158E9"/>
    <w:rsid w:val="00D27293"/>
    <w:rsid w:val="00D34721"/>
    <w:rsid w:val="00D55A11"/>
    <w:rsid w:val="00D618AE"/>
    <w:rsid w:val="00D910E4"/>
    <w:rsid w:val="00E409D1"/>
    <w:rsid w:val="00E446A9"/>
    <w:rsid w:val="00E719B7"/>
    <w:rsid w:val="00EA0411"/>
    <w:rsid w:val="00F0602B"/>
    <w:rsid w:val="00F44CD5"/>
    <w:rsid w:val="00F643B5"/>
    <w:rsid w:val="00F75D7A"/>
    <w:rsid w:val="00F8296D"/>
    <w:rsid w:val="00F96685"/>
    <w:rsid w:val="00FB75D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0602B"/>
    <w:pPr>
      <w:keepNext/>
      <w:keepLines/>
      <w:numPr>
        <w:numId w:val="32"/>
      </w:numPr>
      <w:pBdr>
        <w:bottom w:val="single" w:sz="12" w:space="1" w:color="auto"/>
      </w:pBdr>
      <w:spacing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F0602B"/>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
    <w:link w:val="Paragraphedeliste"/>
    <w:uiPriority w:val="34"/>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11soustitre">
    <w:name w:val="1.1 sous titre"/>
    <w:basedOn w:val="Paragraphedeliste"/>
    <w:link w:val="11soustitreCar"/>
    <w:qFormat/>
    <w:rsid w:val="00F0602B"/>
    <w:pPr>
      <w:numPr>
        <w:ilvl w:val="1"/>
        <w:numId w:val="33"/>
      </w:numPr>
    </w:pPr>
    <w:rPr>
      <w:rFonts w:ascii="Marianne Light" w:hAnsi="Marianne Light"/>
      <w:sz w:val="18"/>
      <w:szCs w:val="18"/>
      <w:u w:val="single"/>
    </w:rPr>
  </w:style>
  <w:style w:type="paragraph" w:customStyle="1" w:styleId="pucerondes">
    <w:name w:val="puce rondes"/>
    <w:basedOn w:val="Paragraphedeliste"/>
    <w:link w:val="pucerondesCar"/>
    <w:qFormat/>
    <w:rsid w:val="00F0602B"/>
    <w:pPr>
      <w:numPr>
        <w:numId w:val="30"/>
      </w:numPr>
      <w:spacing w:after="0"/>
      <w:ind w:left="1324"/>
    </w:pPr>
    <w:rPr>
      <w:rFonts w:ascii="Marianne Light" w:hAnsi="Marianne Light"/>
      <w:sz w:val="18"/>
      <w:szCs w:val="18"/>
      <w:lang w:eastAsia="fr-FR"/>
    </w:rPr>
  </w:style>
  <w:style w:type="character" w:customStyle="1" w:styleId="11soustitreCar">
    <w:name w:val="1.1 sous titre Car"/>
    <w:basedOn w:val="ParagraphedelisteCar"/>
    <w:link w:val="11soustitre"/>
    <w:rsid w:val="00F0602B"/>
    <w:rPr>
      <w:rFonts w:ascii="Marianne Light" w:hAnsi="Marianne Light"/>
      <w:sz w:val="18"/>
      <w:szCs w:val="18"/>
      <w:u w:val="single"/>
    </w:rPr>
  </w:style>
  <w:style w:type="paragraph" w:customStyle="1" w:styleId="soustitre">
    <w:name w:val="sous titre"/>
    <w:basedOn w:val="Normal"/>
    <w:link w:val="soustitreCar"/>
    <w:qFormat/>
    <w:rsid w:val="00892F92"/>
    <w:pPr>
      <w:keepNext/>
      <w:keepLines/>
      <w:spacing w:before="360" w:after="120" w:line="240" w:lineRule="auto"/>
      <w:outlineLvl w:val="1"/>
    </w:pPr>
    <w:rPr>
      <w:rFonts w:ascii="Marianne Light" w:eastAsia="Times New Roman" w:hAnsi="Marianne Light" w:cs="Arial"/>
      <w:b/>
      <w:sz w:val="28"/>
      <w:szCs w:val="28"/>
      <w:lang w:eastAsia="fr-FR"/>
    </w:rPr>
  </w:style>
  <w:style w:type="character" w:customStyle="1" w:styleId="pucerondesCar">
    <w:name w:val="puce rondes Car"/>
    <w:basedOn w:val="ParagraphedelisteCar"/>
    <w:link w:val="pucerondes"/>
    <w:rsid w:val="00F0602B"/>
    <w:rPr>
      <w:rFonts w:ascii="Marianne Light" w:hAnsi="Marianne Light"/>
      <w:sz w:val="18"/>
      <w:szCs w:val="18"/>
      <w:lang w:eastAsia="fr-FR"/>
    </w:rPr>
  </w:style>
  <w:style w:type="character" w:customStyle="1" w:styleId="soustitreCar">
    <w:name w:val="sous titre Car"/>
    <w:basedOn w:val="Policepardfaut"/>
    <w:link w:val="soustitre"/>
    <w:rsid w:val="00892F92"/>
    <w:rPr>
      <w:rFonts w:ascii="Marianne Light" w:eastAsia="Times New Roman" w:hAnsi="Marianne Light" w:cs="Arial"/>
      <w:b/>
      <w:sz w:val="28"/>
      <w:szCs w:val="28"/>
      <w:lang w:eastAsia="fr-FR"/>
    </w:rPr>
  </w:style>
  <w:style w:type="character" w:styleId="Mentionnonrsolue">
    <w:name w:val="Unresolved Mention"/>
    <w:basedOn w:val="Policepardfaut"/>
    <w:uiPriority w:val="99"/>
    <w:semiHidden/>
    <w:unhideWhenUsed/>
    <w:rsid w:val="00EA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irie.ademe.fr/dechets-economie-circulaire/689-etude-prealable-a-l-instauration-d-une-tarification-incitative-ti.html" TargetMode="External"/><Relationship Id="rId13" Type="http://schemas.openxmlformats.org/officeDocument/2006/relationships/hyperlink" Target="https://www.ademe.fr/nos-missions/financ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logique-solidaire.gouv.fr/fiscalite-des-dech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FR/TXT/?uri=LEGISSUM:n26026" TargetMode="External"/><Relationship Id="rId4" Type="http://schemas.openxmlformats.org/officeDocument/2006/relationships/settings" Target="settings.xml"/><Relationship Id="rId9" Type="http://schemas.openxmlformats.org/officeDocument/2006/relationships/hyperlink" Target="https://librairie.ademe.fr/dechets-economie-circulaire/4659-etude-prealable-a-l-instauration-d-une-tarification-incitative-et-du-tri-a-la-source-des-biodechets.html" TargetMode="External"/><Relationship Id="rId14" Type="http://schemas.openxmlformats.org/officeDocument/2006/relationships/hyperlink" Target="https://www.ademe.fr/nos-missions/finance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6769-54CF-458B-9994-A2359FE9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11176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2</cp:revision>
  <dcterms:created xsi:type="dcterms:W3CDTF">2024-02-02T13:32:00Z</dcterms:created>
  <dcterms:modified xsi:type="dcterms:W3CDTF">2024-02-02T13:32:00Z</dcterms:modified>
</cp:coreProperties>
</file>