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099CD" w14:textId="2272BAE7" w:rsidR="00ED0495" w:rsidRDefault="00ED0495" w:rsidP="00ED0495"/>
    <w:p w14:paraId="2678FFCB" w14:textId="09C418DD" w:rsidR="007207FA" w:rsidRDefault="007207FA" w:rsidP="007E2A14">
      <w:pPr>
        <w:jc w:val="center"/>
      </w:pPr>
      <w:r>
        <w:rPr>
          <w:noProof/>
          <w:lang w:eastAsia="fr-FR"/>
        </w:rPr>
        <w:drawing>
          <wp:inline distT="0" distB="0" distL="0" distR="0" wp14:anchorId="42FA82B8" wp14:editId="1F759BAC">
            <wp:extent cx="3205981" cy="14687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95761" cy="1509830"/>
                    </a:xfrm>
                    <a:prstGeom prst="rect">
                      <a:avLst/>
                    </a:prstGeom>
                  </pic:spPr>
                </pic:pic>
              </a:graphicData>
            </a:graphic>
          </wp:inline>
        </w:drawing>
      </w:r>
    </w:p>
    <w:p w14:paraId="7A4ED5B5" w14:textId="498DED1B" w:rsidR="00ED0495" w:rsidRPr="00ED0495" w:rsidRDefault="00ED0495" w:rsidP="00ED0495">
      <w:pPr>
        <w:jc w:val="center"/>
        <w:rPr>
          <w:rFonts w:cs="Arial"/>
          <w:color w:val="3399FF"/>
          <w:sz w:val="72"/>
          <w:szCs w:val="72"/>
        </w:rPr>
      </w:pPr>
      <w:r w:rsidRPr="00FB037A">
        <w:rPr>
          <w:rFonts w:cs="Arial"/>
          <w:color w:val="3399FF"/>
          <w:sz w:val="72"/>
          <w:szCs w:val="72"/>
        </w:rPr>
        <w:t>Appel à Projets</w:t>
      </w:r>
      <w:r w:rsidR="00DD756D">
        <w:rPr>
          <w:rFonts w:cs="Arial"/>
          <w:color w:val="3399FF"/>
          <w:sz w:val="72"/>
          <w:szCs w:val="72"/>
        </w:rPr>
        <w:t xml:space="preserve"> </w:t>
      </w:r>
    </w:p>
    <w:p w14:paraId="11EFBB10" w14:textId="025FB2C5" w:rsidR="00ED0495" w:rsidRPr="00FB037A" w:rsidRDefault="00ED0495" w:rsidP="00ED0495">
      <w:pPr>
        <w:pStyle w:val="Corpsdetexte"/>
        <w:jc w:val="center"/>
        <w:rPr>
          <w:rFonts w:ascii="Arial" w:hAnsi="Arial" w:cs="Arial"/>
          <w:b/>
          <w:color w:val="3399FF"/>
          <w:sz w:val="72"/>
        </w:rPr>
      </w:pPr>
      <w:r w:rsidRPr="00FB037A">
        <w:rPr>
          <w:rFonts w:ascii="Arial" w:hAnsi="Arial" w:cs="Arial"/>
          <w:b/>
          <w:color w:val="3399FF"/>
          <w:sz w:val="72"/>
        </w:rPr>
        <w:t xml:space="preserve">Généraliser le tri à la source des </w:t>
      </w:r>
      <w:r w:rsidRPr="00ED0495">
        <w:rPr>
          <w:rFonts w:ascii="Arial" w:hAnsi="Arial" w:cs="Arial"/>
          <w:b/>
          <w:color w:val="3399FF"/>
          <w:sz w:val="72"/>
        </w:rPr>
        <w:t>biodéchets</w:t>
      </w:r>
      <w:r>
        <w:rPr>
          <w:rFonts w:ascii="Arial" w:hAnsi="Arial" w:cs="Arial"/>
          <w:b/>
          <w:color w:val="3399FF"/>
          <w:sz w:val="72"/>
        </w:rPr>
        <w:t xml:space="preserve"> </w:t>
      </w:r>
      <w:r w:rsidRPr="00FB037A">
        <w:rPr>
          <w:rFonts w:ascii="Arial" w:hAnsi="Arial" w:cs="Arial"/>
          <w:b/>
          <w:color w:val="3399FF"/>
          <w:sz w:val="72"/>
        </w:rPr>
        <w:t xml:space="preserve">en </w:t>
      </w:r>
      <w:r w:rsidR="00646159">
        <w:rPr>
          <w:rFonts w:ascii="Arial" w:hAnsi="Arial" w:cs="Arial"/>
          <w:b/>
          <w:color w:val="3399FF"/>
          <w:sz w:val="72"/>
        </w:rPr>
        <w:t xml:space="preserve">BRETAGNE </w:t>
      </w:r>
    </w:p>
    <w:p w14:paraId="476FCF94" w14:textId="77777777" w:rsidR="00ED0495" w:rsidRDefault="00ED0495" w:rsidP="00ED0495"/>
    <w:p w14:paraId="277B2B19" w14:textId="77777777" w:rsidR="00ED0495" w:rsidRPr="00DE7A3D" w:rsidRDefault="00ED0495" w:rsidP="00ED0495">
      <w:pPr>
        <w:jc w:val="center"/>
        <w:rPr>
          <w:rFonts w:ascii="Calibri" w:eastAsia="SimSun" w:hAnsi="Calibri" w:cs="font299"/>
          <w:sz w:val="24"/>
          <w:szCs w:val="56"/>
          <w:lang w:eastAsia="zh-CN"/>
        </w:rPr>
      </w:pPr>
      <w:r>
        <w:tab/>
      </w:r>
      <w:r>
        <w:rPr>
          <w:rFonts w:ascii="Calibri" w:eastAsia="SimSun" w:hAnsi="Calibri" w:cs="font299"/>
          <w:b/>
          <w:sz w:val="40"/>
          <w:szCs w:val="56"/>
          <w:lang w:eastAsia="zh-CN"/>
        </w:rPr>
        <w:t>Cahier des charges</w:t>
      </w:r>
    </w:p>
    <w:tbl>
      <w:tblPr>
        <w:tblStyle w:val="Grilledutableau"/>
        <w:tblW w:w="10343" w:type="dxa"/>
        <w:tblLook w:val="04A0" w:firstRow="1" w:lastRow="0" w:firstColumn="1" w:lastColumn="0" w:noHBand="0" w:noVBand="1"/>
      </w:tblPr>
      <w:tblGrid>
        <w:gridCol w:w="10343"/>
      </w:tblGrid>
      <w:tr w:rsidR="00ED0495" w:rsidRPr="00ED0495" w14:paraId="6D527D23" w14:textId="77777777" w:rsidTr="001F1C5E">
        <w:tc>
          <w:tcPr>
            <w:tcW w:w="10343" w:type="dxa"/>
          </w:tcPr>
          <w:p w14:paraId="3B3118C0" w14:textId="77777777" w:rsidR="00ED0495" w:rsidRPr="00ED0495" w:rsidRDefault="00ED0495" w:rsidP="00B90885">
            <w:pPr>
              <w:suppressAutoHyphens/>
              <w:spacing w:after="200" w:line="276" w:lineRule="auto"/>
              <w:jc w:val="center"/>
              <w:rPr>
                <w:rFonts w:eastAsia="SimSun" w:cs="Arial"/>
                <w:b/>
                <w:sz w:val="10"/>
                <w:szCs w:val="10"/>
                <w:lang w:eastAsia="zh-CN"/>
              </w:rPr>
            </w:pPr>
          </w:p>
          <w:p w14:paraId="658F6034" w14:textId="04DEACCF" w:rsidR="00ED0495" w:rsidRPr="00ED0495" w:rsidRDefault="00ED0495" w:rsidP="00B90885">
            <w:pPr>
              <w:suppressAutoHyphens/>
              <w:spacing w:after="200" w:line="276" w:lineRule="auto"/>
              <w:jc w:val="center"/>
              <w:rPr>
                <w:rFonts w:eastAsia="SimSun" w:cs="Arial"/>
                <w:b/>
                <w:sz w:val="24"/>
                <w:lang w:eastAsia="zh-CN"/>
              </w:rPr>
            </w:pPr>
            <w:r w:rsidRPr="00ED0495">
              <w:rPr>
                <w:rFonts w:eastAsia="SimSun" w:cs="Arial"/>
                <w:b/>
                <w:sz w:val="24"/>
                <w:lang w:eastAsia="zh-CN"/>
              </w:rPr>
              <w:t xml:space="preserve">Edition </w:t>
            </w:r>
            <w:r w:rsidR="00646159">
              <w:rPr>
                <w:rFonts w:eastAsia="SimSun" w:cs="Arial"/>
                <w:b/>
                <w:sz w:val="24"/>
                <w:lang w:eastAsia="zh-CN"/>
              </w:rPr>
              <w:t xml:space="preserve">2021 </w:t>
            </w:r>
            <w:r w:rsidR="007207FA">
              <w:rPr>
                <w:rFonts w:eastAsia="SimSun" w:cs="Arial"/>
                <w:b/>
                <w:sz w:val="24"/>
                <w:lang w:eastAsia="zh-CN"/>
              </w:rPr>
              <w:t>- 2022</w:t>
            </w:r>
          </w:p>
          <w:p w14:paraId="486A9EA8" w14:textId="577F063A" w:rsidR="00ED0495" w:rsidRPr="001F1C5E" w:rsidRDefault="00ED0495" w:rsidP="00B90885">
            <w:pPr>
              <w:suppressAutoHyphens/>
              <w:spacing w:after="200" w:line="276" w:lineRule="auto"/>
              <w:jc w:val="center"/>
              <w:rPr>
                <w:rFonts w:eastAsia="SimSun" w:cs="Arial"/>
                <w:b/>
                <w:sz w:val="24"/>
                <w:lang w:eastAsia="zh-CN"/>
              </w:rPr>
            </w:pPr>
            <w:r w:rsidRPr="00ED0495">
              <w:rPr>
                <w:rFonts w:eastAsia="SimSun" w:cs="Arial"/>
                <w:b/>
                <w:sz w:val="24"/>
                <w:u w:val="single"/>
                <w:lang w:eastAsia="zh-CN"/>
              </w:rPr>
              <w:t>Date de lancement</w:t>
            </w:r>
            <w:r w:rsidRPr="00ED0495">
              <w:rPr>
                <w:rFonts w:eastAsia="SimSun" w:cs="Arial"/>
                <w:b/>
                <w:sz w:val="24"/>
                <w:lang w:eastAsia="zh-CN"/>
              </w:rPr>
              <w:t> :</w:t>
            </w:r>
            <w:r w:rsidR="001F1C5E">
              <w:rPr>
                <w:rFonts w:eastAsia="SimSun" w:cs="Arial"/>
                <w:b/>
                <w:sz w:val="24"/>
                <w:lang w:eastAsia="zh-CN"/>
              </w:rPr>
              <w:t xml:space="preserve"> </w:t>
            </w:r>
            <w:r w:rsidR="001F1C5E" w:rsidRPr="001F1C5E">
              <w:rPr>
                <w:rFonts w:eastAsia="SimSun" w:cs="Arial"/>
                <w:b/>
                <w:sz w:val="24"/>
                <w:lang w:eastAsia="zh-CN"/>
              </w:rPr>
              <w:t>8</w:t>
            </w:r>
            <w:r w:rsidR="001F1C5E">
              <w:rPr>
                <w:rFonts w:eastAsia="SimSun" w:cs="Arial"/>
                <w:b/>
                <w:sz w:val="24"/>
                <w:lang w:eastAsia="zh-CN"/>
              </w:rPr>
              <w:t xml:space="preserve"> </w:t>
            </w:r>
            <w:r w:rsidR="000367D9" w:rsidRPr="001F1C5E">
              <w:rPr>
                <w:rFonts w:eastAsia="SimSun" w:cs="Arial"/>
                <w:b/>
                <w:sz w:val="24"/>
                <w:lang w:eastAsia="zh-CN"/>
              </w:rPr>
              <w:t>Février</w:t>
            </w:r>
            <w:r w:rsidR="00753FC4">
              <w:rPr>
                <w:rFonts w:eastAsia="SimSun" w:cs="Arial"/>
                <w:b/>
                <w:sz w:val="24"/>
                <w:lang w:eastAsia="zh-CN"/>
              </w:rPr>
              <w:t xml:space="preserve"> </w:t>
            </w:r>
            <w:r w:rsidR="00646159" w:rsidRPr="001F1C5E">
              <w:rPr>
                <w:rFonts w:eastAsia="SimSun" w:cs="Arial"/>
                <w:b/>
                <w:sz w:val="24"/>
                <w:lang w:eastAsia="zh-CN"/>
              </w:rPr>
              <w:t>202</w:t>
            </w:r>
            <w:r w:rsidR="000367D9" w:rsidRPr="001F1C5E">
              <w:rPr>
                <w:rFonts w:eastAsia="SimSun" w:cs="Arial"/>
                <w:b/>
                <w:sz w:val="24"/>
                <w:lang w:eastAsia="zh-CN"/>
              </w:rPr>
              <w:t>1</w:t>
            </w:r>
            <w:r w:rsidR="00646159" w:rsidRPr="001F1C5E">
              <w:rPr>
                <w:rFonts w:eastAsia="SimSun" w:cs="Arial"/>
                <w:b/>
                <w:sz w:val="24"/>
                <w:lang w:eastAsia="zh-CN"/>
              </w:rPr>
              <w:t xml:space="preserve"> </w:t>
            </w:r>
            <w:r w:rsidR="00403764" w:rsidRPr="001F1C5E">
              <w:rPr>
                <w:rFonts w:eastAsia="SimSun" w:cs="Arial"/>
                <w:b/>
                <w:sz w:val="24"/>
                <w:lang w:eastAsia="zh-CN"/>
              </w:rPr>
              <w:t> </w:t>
            </w:r>
          </w:p>
          <w:p w14:paraId="3D555EDC" w14:textId="77777777" w:rsidR="00ED0495" w:rsidRPr="001F1C5E" w:rsidRDefault="00ED0495" w:rsidP="00B90885">
            <w:pPr>
              <w:suppressAutoHyphens/>
              <w:spacing w:after="200" w:line="276" w:lineRule="auto"/>
              <w:jc w:val="center"/>
              <w:rPr>
                <w:rFonts w:eastAsia="SimSun" w:cs="Arial"/>
                <w:b/>
                <w:sz w:val="24"/>
                <w:u w:val="single"/>
                <w:lang w:eastAsia="zh-CN"/>
              </w:rPr>
            </w:pPr>
            <w:r w:rsidRPr="001F1C5E">
              <w:rPr>
                <w:rFonts w:eastAsia="SimSun" w:cs="Arial"/>
                <w:b/>
                <w:sz w:val="24"/>
                <w:u w:val="single"/>
                <w:lang w:eastAsia="zh-CN"/>
              </w:rPr>
              <w:t>Dates limites de dépôt des dossiers :</w:t>
            </w:r>
          </w:p>
          <w:p w14:paraId="3EBC50D6" w14:textId="1E4A86F4" w:rsidR="00EE6ABD" w:rsidRPr="001F1C5E" w:rsidRDefault="00646159" w:rsidP="00EE6ABD">
            <w:pPr>
              <w:suppressAutoHyphens/>
              <w:jc w:val="center"/>
              <w:rPr>
                <w:rFonts w:eastAsia="SimSun" w:cs="Arial"/>
                <w:b/>
                <w:sz w:val="24"/>
                <w:lang w:eastAsia="zh-CN"/>
              </w:rPr>
            </w:pPr>
            <w:r w:rsidRPr="001F1C5E">
              <w:rPr>
                <w:rFonts w:eastAsia="SimSun" w:cs="Arial"/>
                <w:b/>
                <w:sz w:val="24"/>
                <w:lang w:eastAsia="zh-CN"/>
              </w:rPr>
              <w:t xml:space="preserve"> </w:t>
            </w:r>
            <w:r w:rsidR="000812C0" w:rsidRPr="001F1C5E">
              <w:rPr>
                <w:rFonts w:eastAsia="SimSun" w:cs="Arial"/>
                <w:b/>
                <w:sz w:val="24"/>
                <w:lang w:eastAsia="zh-CN"/>
              </w:rPr>
              <w:t xml:space="preserve">5 </w:t>
            </w:r>
            <w:r w:rsidR="00171E82" w:rsidRPr="001F1C5E">
              <w:rPr>
                <w:rFonts w:eastAsia="SimSun" w:cs="Arial"/>
                <w:b/>
                <w:sz w:val="24"/>
                <w:lang w:eastAsia="zh-CN"/>
              </w:rPr>
              <w:t>Avril</w:t>
            </w:r>
            <w:r w:rsidRPr="001F1C5E">
              <w:rPr>
                <w:rFonts w:eastAsia="SimSun" w:cs="Arial"/>
                <w:b/>
                <w:sz w:val="24"/>
                <w:lang w:eastAsia="zh-CN"/>
              </w:rPr>
              <w:t xml:space="preserve"> 2021</w:t>
            </w:r>
            <w:r w:rsidR="00443BD3" w:rsidRPr="001F1C5E">
              <w:rPr>
                <w:rFonts w:eastAsia="SimSun" w:cs="Arial"/>
                <w:b/>
                <w:sz w:val="24"/>
                <w:lang w:eastAsia="zh-CN"/>
              </w:rPr>
              <w:t xml:space="preserve"> </w:t>
            </w:r>
            <w:r w:rsidR="00B80B18" w:rsidRPr="001F1C5E">
              <w:rPr>
                <w:rFonts w:eastAsia="SimSun" w:cs="Arial"/>
                <w:b/>
                <w:sz w:val="24"/>
                <w:lang w:eastAsia="zh-CN"/>
              </w:rPr>
              <w:t>–</w:t>
            </w:r>
            <w:r w:rsidR="000812C0" w:rsidRPr="001F1C5E">
              <w:rPr>
                <w:rFonts w:eastAsia="SimSun" w:cs="Arial"/>
                <w:b/>
                <w:sz w:val="24"/>
                <w:lang w:eastAsia="zh-CN"/>
              </w:rPr>
              <w:t xml:space="preserve"> 7 </w:t>
            </w:r>
            <w:r w:rsidR="00B80B18" w:rsidRPr="001F1C5E">
              <w:rPr>
                <w:rFonts w:eastAsia="SimSun" w:cs="Arial"/>
                <w:b/>
                <w:sz w:val="24"/>
                <w:lang w:eastAsia="zh-CN"/>
              </w:rPr>
              <w:t xml:space="preserve">juin </w:t>
            </w:r>
            <w:r w:rsidRPr="001F1C5E">
              <w:rPr>
                <w:rFonts w:eastAsia="SimSun" w:cs="Arial"/>
                <w:b/>
                <w:sz w:val="24"/>
                <w:lang w:eastAsia="zh-CN"/>
              </w:rPr>
              <w:t xml:space="preserve">2021 – </w:t>
            </w:r>
            <w:r w:rsidR="000812C0" w:rsidRPr="001F1C5E">
              <w:rPr>
                <w:rFonts w:eastAsia="SimSun" w:cs="Arial"/>
                <w:b/>
                <w:sz w:val="24"/>
                <w:lang w:eastAsia="zh-CN"/>
              </w:rPr>
              <w:t xml:space="preserve">6 </w:t>
            </w:r>
            <w:r w:rsidR="00753FC4">
              <w:rPr>
                <w:rFonts w:eastAsia="SimSun" w:cs="Arial"/>
                <w:b/>
                <w:sz w:val="24"/>
                <w:lang w:eastAsia="zh-CN"/>
              </w:rPr>
              <w:t>S</w:t>
            </w:r>
            <w:r w:rsidRPr="001F1C5E">
              <w:rPr>
                <w:rFonts w:eastAsia="SimSun" w:cs="Arial"/>
                <w:b/>
                <w:sz w:val="24"/>
                <w:lang w:eastAsia="zh-CN"/>
              </w:rPr>
              <w:t>ept</w:t>
            </w:r>
            <w:r w:rsidR="00753FC4">
              <w:rPr>
                <w:rFonts w:eastAsia="SimSun" w:cs="Arial"/>
                <w:b/>
                <w:sz w:val="24"/>
                <w:lang w:eastAsia="zh-CN"/>
              </w:rPr>
              <w:t>embre</w:t>
            </w:r>
            <w:r w:rsidRPr="001F1C5E">
              <w:rPr>
                <w:rFonts w:eastAsia="SimSun" w:cs="Arial"/>
                <w:b/>
                <w:sz w:val="24"/>
                <w:lang w:eastAsia="zh-CN"/>
              </w:rPr>
              <w:t xml:space="preserve"> 2021 – </w:t>
            </w:r>
            <w:r w:rsidR="000812C0" w:rsidRPr="001F1C5E">
              <w:rPr>
                <w:rFonts w:eastAsia="SimSun" w:cs="Arial"/>
                <w:b/>
                <w:sz w:val="24"/>
                <w:lang w:eastAsia="zh-CN"/>
              </w:rPr>
              <w:t xml:space="preserve">6 </w:t>
            </w:r>
            <w:r w:rsidR="00753FC4">
              <w:rPr>
                <w:rFonts w:eastAsia="SimSun" w:cs="Arial"/>
                <w:b/>
                <w:sz w:val="24"/>
                <w:lang w:eastAsia="zh-CN"/>
              </w:rPr>
              <w:t>Décembre</w:t>
            </w:r>
            <w:r w:rsidRPr="001F1C5E">
              <w:rPr>
                <w:rFonts w:eastAsia="SimSun" w:cs="Arial"/>
                <w:b/>
                <w:sz w:val="24"/>
                <w:lang w:eastAsia="zh-CN"/>
              </w:rPr>
              <w:t xml:space="preserve"> 2021 </w:t>
            </w:r>
          </w:p>
          <w:p w14:paraId="665472C7" w14:textId="4FE100CA" w:rsidR="00426145" w:rsidRPr="001F1C5E" w:rsidRDefault="000812C0" w:rsidP="004C4466">
            <w:pPr>
              <w:suppressAutoHyphens/>
              <w:jc w:val="center"/>
              <w:rPr>
                <w:rFonts w:eastAsia="SimSun" w:cs="Arial"/>
                <w:b/>
                <w:sz w:val="24"/>
                <w:lang w:eastAsia="zh-CN"/>
              </w:rPr>
            </w:pPr>
            <w:r w:rsidRPr="001F1C5E">
              <w:rPr>
                <w:rFonts w:eastAsia="SimSun" w:cs="Arial"/>
                <w:b/>
                <w:sz w:val="24"/>
                <w:lang w:eastAsia="zh-CN"/>
              </w:rPr>
              <w:t xml:space="preserve">7 </w:t>
            </w:r>
            <w:r w:rsidR="00426145" w:rsidRPr="001F1C5E">
              <w:rPr>
                <w:rFonts w:eastAsia="SimSun" w:cs="Arial"/>
                <w:b/>
                <w:sz w:val="24"/>
                <w:lang w:eastAsia="zh-CN"/>
              </w:rPr>
              <w:t xml:space="preserve">Mars 2022 </w:t>
            </w:r>
            <w:r w:rsidRPr="001F1C5E">
              <w:rPr>
                <w:rFonts w:eastAsia="SimSun" w:cs="Arial"/>
                <w:b/>
                <w:sz w:val="24"/>
                <w:lang w:eastAsia="zh-CN"/>
              </w:rPr>
              <w:t>–</w:t>
            </w:r>
            <w:r w:rsidR="00426145" w:rsidRPr="001F1C5E">
              <w:rPr>
                <w:rFonts w:eastAsia="SimSun" w:cs="Arial"/>
                <w:b/>
                <w:sz w:val="24"/>
                <w:lang w:eastAsia="zh-CN"/>
              </w:rPr>
              <w:t xml:space="preserve"> </w:t>
            </w:r>
            <w:r w:rsidRPr="001F1C5E">
              <w:rPr>
                <w:rFonts w:eastAsia="SimSun" w:cs="Arial"/>
                <w:b/>
                <w:sz w:val="24"/>
                <w:lang w:eastAsia="zh-CN"/>
              </w:rPr>
              <w:t xml:space="preserve">7 </w:t>
            </w:r>
            <w:r w:rsidR="004C4466">
              <w:rPr>
                <w:rFonts w:eastAsia="SimSun" w:cs="Arial"/>
                <w:b/>
                <w:sz w:val="24"/>
                <w:lang w:eastAsia="zh-CN"/>
              </w:rPr>
              <w:t xml:space="preserve">Juin </w:t>
            </w:r>
            <w:r w:rsidR="00753FC4">
              <w:rPr>
                <w:rFonts w:eastAsia="SimSun" w:cs="Arial"/>
                <w:b/>
                <w:sz w:val="24"/>
                <w:lang w:eastAsia="zh-CN"/>
              </w:rPr>
              <w:t>2022</w:t>
            </w:r>
          </w:p>
          <w:p w14:paraId="671F0344" w14:textId="77777777" w:rsidR="00EE6ABD" w:rsidRPr="00EE6ABD" w:rsidRDefault="00EE6ABD" w:rsidP="00EE6ABD">
            <w:pPr>
              <w:suppressAutoHyphens/>
              <w:ind w:left="714"/>
              <w:rPr>
                <w:rFonts w:eastAsia="SimSun" w:cs="Arial"/>
                <w:b/>
                <w:sz w:val="24"/>
                <w:lang w:eastAsia="zh-CN"/>
              </w:rPr>
            </w:pPr>
          </w:p>
          <w:p w14:paraId="1D197C3D" w14:textId="0874F79E" w:rsidR="00ED0495" w:rsidRDefault="00ED0495" w:rsidP="00EE6ABD">
            <w:pPr>
              <w:suppressAutoHyphens/>
              <w:ind w:left="714"/>
              <w:jc w:val="center"/>
              <w:rPr>
                <w:rFonts w:eastAsia="SimSun" w:cs="Arial"/>
                <w:b/>
                <w:sz w:val="24"/>
                <w:u w:val="single"/>
                <w:lang w:eastAsia="zh-CN"/>
              </w:rPr>
            </w:pPr>
            <w:r w:rsidRPr="00EE6ABD">
              <w:rPr>
                <w:rFonts w:eastAsia="SimSun" w:cs="Arial"/>
                <w:b/>
                <w:sz w:val="24"/>
                <w:u w:val="single"/>
                <w:lang w:eastAsia="zh-CN"/>
              </w:rPr>
              <w:t>Dépôt des dossiers sur :</w:t>
            </w:r>
          </w:p>
          <w:p w14:paraId="50290F39" w14:textId="1E26E120" w:rsidR="001F1C5E" w:rsidRDefault="00AD07DC" w:rsidP="001F1C5E">
            <w:pPr>
              <w:suppressAutoHyphens/>
              <w:jc w:val="center"/>
              <w:rPr>
                <w:rFonts w:eastAsia="SimSun" w:cs="Arial"/>
                <w:sz w:val="24"/>
                <w:lang w:eastAsia="zh-CN"/>
              </w:rPr>
            </w:pPr>
            <w:hyperlink r:id="rId12" w:history="1">
              <w:r w:rsidR="001F1C5E" w:rsidRPr="004F4C5B">
                <w:rPr>
                  <w:rStyle w:val="Lienhypertexte"/>
                  <w:rFonts w:eastAsia="SimSun" w:cs="Arial"/>
                  <w:sz w:val="24"/>
                  <w:lang w:eastAsia="zh-CN"/>
                </w:rPr>
                <w:t>https://agirpourlatransition.ademe.fr/</w:t>
              </w:r>
            </w:hyperlink>
          </w:p>
          <w:p w14:paraId="11927556" w14:textId="77777777" w:rsidR="001F1C5E" w:rsidRDefault="001F1C5E" w:rsidP="001F1C5E">
            <w:pPr>
              <w:suppressAutoHyphens/>
              <w:jc w:val="center"/>
              <w:rPr>
                <w:rFonts w:eastAsia="SimSun" w:cs="Arial"/>
                <w:sz w:val="24"/>
                <w:lang w:eastAsia="zh-CN"/>
              </w:rPr>
            </w:pPr>
          </w:p>
          <w:p w14:paraId="1D44A3F4" w14:textId="1CC436CF" w:rsidR="00BE79D4" w:rsidRPr="00ED0495" w:rsidRDefault="00BE79D4" w:rsidP="001F1C5E">
            <w:pPr>
              <w:suppressAutoHyphens/>
              <w:jc w:val="center"/>
              <w:rPr>
                <w:rFonts w:eastAsia="SimSun" w:cs="Arial"/>
                <w:sz w:val="24"/>
                <w:lang w:eastAsia="zh-CN"/>
              </w:rPr>
            </w:pPr>
          </w:p>
        </w:tc>
      </w:tr>
    </w:tbl>
    <w:p w14:paraId="6173EEA8" w14:textId="77777777" w:rsidR="00001503" w:rsidRDefault="00001503" w:rsidP="00001503"/>
    <w:p w14:paraId="61F208B0" w14:textId="71A97213" w:rsidR="00001503" w:rsidRDefault="00001503" w:rsidP="00001503">
      <w:r>
        <w:br w:type="page"/>
      </w:r>
    </w:p>
    <w:p w14:paraId="18975A3F" w14:textId="34CD0D2D" w:rsidR="00852FCE" w:rsidRDefault="00392B6A" w:rsidP="009B39A3">
      <w:pPr>
        <w:pStyle w:val="Titre1"/>
        <w:numPr>
          <w:ilvl w:val="0"/>
          <w:numId w:val="7"/>
        </w:numPr>
      </w:pPr>
      <w:r>
        <w:lastRenderedPageBreak/>
        <w:t>Contexte et enjeux</w:t>
      </w:r>
      <w:r w:rsidR="00AF06A1">
        <w:t xml:space="preserve"> Nationaux</w:t>
      </w:r>
    </w:p>
    <w:p w14:paraId="36D6E9D4" w14:textId="77777777" w:rsidR="00296E01" w:rsidRDefault="00296E01" w:rsidP="00854E3C">
      <w:pPr>
        <w:rPr>
          <w:szCs w:val="20"/>
        </w:rPr>
      </w:pPr>
    </w:p>
    <w:p w14:paraId="5895599F" w14:textId="4C8C20E6" w:rsidR="00176512" w:rsidRPr="00B12BEE" w:rsidRDefault="00176512" w:rsidP="00854E3C">
      <w:pPr>
        <w:rPr>
          <w:szCs w:val="20"/>
        </w:rPr>
      </w:pPr>
      <w:r w:rsidRPr="00B12BEE">
        <w:rPr>
          <w:szCs w:val="20"/>
        </w:rPr>
        <w:t xml:space="preserve">Les biodéchets sont définis par </w:t>
      </w:r>
      <w:r w:rsidR="00886807">
        <w:rPr>
          <w:szCs w:val="20"/>
        </w:rPr>
        <w:t>l’article</w:t>
      </w:r>
      <w:r w:rsidR="00886807">
        <w:rPr>
          <w:i/>
          <w:iCs/>
          <w:szCs w:val="20"/>
        </w:rPr>
        <w:t xml:space="preserve"> L541-</w:t>
      </w:r>
      <w:r w:rsidR="00D56728">
        <w:rPr>
          <w:i/>
          <w:iCs/>
          <w:szCs w:val="20"/>
        </w:rPr>
        <w:t>1-</w:t>
      </w:r>
      <w:r w:rsidR="00886807">
        <w:rPr>
          <w:i/>
          <w:iCs/>
          <w:szCs w:val="20"/>
        </w:rPr>
        <w:t>1</w:t>
      </w:r>
      <w:r w:rsidR="008C0699">
        <w:rPr>
          <w:i/>
          <w:iCs/>
          <w:szCs w:val="20"/>
        </w:rPr>
        <w:t xml:space="preserve"> </w:t>
      </w:r>
      <w:r w:rsidRPr="00B12BEE">
        <w:rPr>
          <w:szCs w:val="20"/>
        </w:rPr>
        <w:t>du Code de l’Environnement comme : « </w:t>
      </w:r>
      <w:r w:rsidR="00C12190">
        <w:rPr>
          <w:i/>
          <w:szCs w:val="20"/>
        </w:rPr>
        <w:t xml:space="preserve">les </w:t>
      </w:r>
      <w:r w:rsidRPr="00B12BEE">
        <w:rPr>
          <w:i/>
          <w:szCs w:val="20"/>
        </w:rPr>
        <w:t>déchet</w:t>
      </w:r>
      <w:r w:rsidR="00C12190">
        <w:rPr>
          <w:i/>
          <w:szCs w:val="20"/>
        </w:rPr>
        <w:t>s</w:t>
      </w:r>
      <w:r w:rsidRPr="00B12BEE">
        <w:rPr>
          <w:i/>
          <w:szCs w:val="20"/>
        </w:rPr>
        <w:t xml:space="preserve"> non dangereux biodégradable</w:t>
      </w:r>
      <w:r w:rsidR="00C12190">
        <w:rPr>
          <w:i/>
          <w:szCs w:val="20"/>
        </w:rPr>
        <w:t>s</w:t>
      </w:r>
      <w:r w:rsidRPr="00B12BEE">
        <w:rPr>
          <w:i/>
          <w:szCs w:val="20"/>
        </w:rPr>
        <w:t xml:space="preserve"> de jardin ou de parc, </w:t>
      </w:r>
      <w:r w:rsidR="00C12190">
        <w:rPr>
          <w:i/>
          <w:szCs w:val="20"/>
        </w:rPr>
        <w:t>les</w:t>
      </w:r>
      <w:r w:rsidRPr="00B12BEE">
        <w:rPr>
          <w:i/>
          <w:szCs w:val="20"/>
        </w:rPr>
        <w:t xml:space="preserve"> déchet</w:t>
      </w:r>
      <w:r w:rsidR="00C12190">
        <w:rPr>
          <w:i/>
          <w:szCs w:val="20"/>
        </w:rPr>
        <w:t>s</w:t>
      </w:r>
      <w:r w:rsidRPr="00B12BEE">
        <w:rPr>
          <w:i/>
          <w:szCs w:val="20"/>
        </w:rPr>
        <w:t xml:space="preserve"> non dangereux alimentaire</w:t>
      </w:r>
      <w:r w:rsidR="00C12190">
        <w:rPr>
          <w:i/>
          <w:szCs w:val="20"/>
        </w:rPr>
        <w:t>s</w:t>
      </w:r>
      <w:r w:rsidRPr="00B12BEE">
        <w:rPr>
          <w:i/>
          <w:szCs w:val="20"/>
        </w:rPr>
        <w:t xml:space="preserve"> ou de cuisine </w:t>
      </w:r>
      <w:r w:rsidR="00C12190">
        <w:rPr>
          <w:i/>
          <w:szCs w:val="20"/>
        </w:rPr>
        <w:t>provenant</w:t>
      </w:r>
      <w:r w:rsidRPr="00B12BEE">
        <w:rPr>
          <w:i/>
          <w:szCs w:val="20"/>
        </w:rPr>
        <w:t xml:space="preserve"> des ménages, des restaurants, des traiteurs ou des magasins de vente au détail, ainsi que </w:t>
      </w:r>
      <w:r w:rsidR="00C12190">
        <w:rPr>
          <w:i/>
          <w:szCs w:val="20"/>
        </w:rPr>
        <w:t>les</w:t>
      </w:r>
      <w:r w:rsidR="00C12190" w:rsidRPr="00B12BEE">
        <w:rPr>
          <w:i/>
          <w:szCs w:val="20"/>
        </w:rPr>
        <w:t xml:space="preserve"> </w:t>
      </w:r>
      <w:r w:rsidRPr="00B12BEE">
        <w:rPr>
          <w:i/>
          <w:szCs w:val="20"/>
        </w:rPr>
        <w:t>déchet</w:t>
      </w:r>
      <w:r w:rsidR="00C12190">
        <w:rPr>
          <w:i/>
          <w:szCs w:val="20"/>
        </w:rPr>
        <w:t>s</w:t>
      </w:r>
      <w:r w:rsidRPr="00B12BEE">
        <w:rPr>
          <w:i/>
          <w:szCs w:val="20"/>
        </w:rPr>
        <w:t xml:space="preserve"> comparable</w:t>
      </w:r>
      <w:r w:rsidR="00C12190">
        <w:rPr>
          <w:i/>
          <w:szCs w:val="20"/>
        </w:rPr>
        <w:t>s</w:t>
      </w:r>
      <w:r w:rsidRPr="00B12BEE">
        <w:rPr>
          <w:i/>
          <w:szCs w:val="20"/>
        </w:rPr>
        <w:t xml:space="preserve"> provenant des établissements de production ou de transformation de denrées alimentaires</w:t>
      </w:r>
      <w:r w:rsidRPr="00B12BEE">
        <w:rPr>
          <w:szCs w:val="20"/>
        </w:rPr>
        <w:t xml:space="preserve">. ». </w:t>
      </w:r>
      <w:r w:rsidR="00E663F6" w:rsidRPr="00B12BEE">
        <w:rPr>
          <w:szCs w:val="20"/>
        </w:rPr>
        <w:t xml:space="preserve">Sont ainsi ciblées par cet appel à projets </w:t>
      </w:r>
      <w:r w:rsidRPr="00B12BEE">
        <w:rPr>
          <w:szCs w:val="20"/>
        </w:rPr>
        <w:t>la gestion des déchets alimentaires comme celles des déchets verts.</w:t>
      </w:r>
    </w:p>
    <w:p w14:paraId="0E97DBA1" w14:textId="416D3C03" w:rsidR="00BE79D4" w:rsidRPr="00B12BEE" w:rsidRDefault="00BE79D4" w:rsidP="00BE79D4">
      <w:pPr>
        <w:rPr>
          <w:szCs w:val="20"/>
        </w:rPr>
      </w:pPr>
      <w:r>
        <w:rPr>
          <w:szCs w:val="20"/>
        </w:rPr>
        <w:t>L</w:t>
      </w:r>
      <w:r w:rsidRPr="00B12BEE">
        <w:rPr>
          <w:szCs w:val="20"/>
        </w:rPr>
        <w:t xml:space="preserve">e paquet économie circulaire de l’Union Européenne adopté début 2018, exige que les pays de l’UE mettent en place le tri à la source des biodéchets au plus tard le 31 décembre 2023. </w:t>
      </w:r>
    </w:p>
    <w:p w14:paraId="54027973" w14:textId="4CF1BED3" w:rsidR="00BE79D4" w:rsidRDefault="00BE79D4" w:rsidP="00854E3C">
      <w:pPr>
        <w:rPr>
          <w:szCs w:val="20"/>
        </w:rPr>
      </w:pPr>
      <w:r>
        <w:rPr>
          <w:szCs w:val="20"/>
        </w:rPr>
        <w:t xml:space="preserve">Ainsi l’article </w:t>
      </w:r>
      <w:r w:rsidR="001E022F">
        <w:rPr>
          <w:szCs w:val="20"/>
        </w:rPr>
        <w:t>88</w:t>
      </w:r>
      <w:r>
        <w:rPr>
          <w:szCs w:val="20"/>
        </w:rPr>
        <w:t xml:space="preserve"> </w:t>
      </w:r>
      <w:r w:rsidR="003D2CCB">
        <w:rPr>
          <w:szCs w:val="20"/>
        </w:rPr>
        <w:t>de la loi anti</w:t>
      </w:r>
      <w:r w:rsidR="00296E01">
        <w:rPr>
          <w:szCs w:val="20"/>
        </w:rPr>
        <w:t>-</w:t>
      </w:r>
      <w:r w:rsidR="003D2CCB">
        <w:rPr>
          <w:szCs w:val="20"/>
        </w:rPr>
        <w:t>gaspillage pour une économie circulaire (AGEC)  modifiant l’</w:t>
      </w:r>
      <w:r w:rsidR="001E022F" w:rsidRPr="001E022F">
        <w:rPr>
          <w:szCs w:val="20"/>
        </w:rPr>
        <w:t>article L. 541-21-1 du code de l'environnement</w:t>
      </w:r>
      <w:r w:rsidR="003D2CCB">
        <w:rPr>
          <w:szCs w:val="20"/>
        </w:rPr>
        <w:t xml:space="preserve"> instaure a</w:t>
      </w:r>
      <w:r w:rsidR="003D2CCB" w:rsidRPr="001E022F">
        <w:rPr>
          <w:szCs w:val="20"/>
        </w:rPr>
        <w:t>u plus tard le 31 décembre 2023</w:t>
      </w:r>
      <w:r w:rsidR="003D2CCB">
        <w:rPr>
          <w:szCs w:val="20"/>
        </w:rPr>
        <w:t xml:space="preserve">, </w:t>
      </w:r>
      <w:r w:rsidR="00C12190">
        <w:rPr>
          <w:szCs w:val="20"/>
        </w:rPr>
        <w:t>« </w:t>
      </w:r>
      <w:r w:rsidR="003D2CCB">
        <w:rPr>
          <w:szCs w:val="20"/>
        </w:rPr>
        <w:t xml:space="preserve">l’obligation </w:t>
      </w:r>
      <w:r w:rsidR="003D2CCB" w:rsidRPr="001E022F">
        <w:rPr>
          <w:szCs w:val="20"/>
        </w:rPr>
        <w:t>de</w:t>
      </w:r>
      <w:r w:rsidR="003D2CCB">
        <w:rPr>
          <w:szCs w:val="20"/>
        </w:rPr>
        <w:t xml:space="preserve"> tri à la source des biodéchets</w:t>
      </w:r>
      <w:r w:rsidR="003D2CCB" w:rsidRPr="001E022F">
        <w:rPr>
          <w:szCs w:val="20"/>
        </w:rPr>
        <w:t xml:space="preserve"> à tous</w:t>
      </w:r>
      <w:r w:rsidR="007207FA">
        <w:rPr>
          <w:szCs w:val="20"/>
        </w:rPr>
        <w:t xml:space="preserve"> </w:t>
      </w:r>
      <w:r w:rsidR="003D2CCB" w:rsidRPr="001E022F">
        <w:rPr>
          <w:szCs w:val="20"/>
        </w:rPr>
        <w:t>les producteurs ou détenteurs de biodéchets, y compris aux collectivi</w:t>
      </w:r>
      <w:r w:rsidR="007207FA">
        <w:rPr>
          <w:szCs w:val="20"/>
        </w:rPr>
        <w:t xml:space="preserve">tés territoriales dans le cadre </w:t>
      </w:r>
      <w:r w:rsidR="003D2CCB" w:rsidRPr="001E022F">
        <w:rPr>
          <w:szCs w:val="20"/>
        </w:rPr>
        <w:t>du service public de gestion des déchets et aux établissements privés et publics qui génèrent des</w:t>
      </w:r>
      <w:r w:rsidR="003D2CCB" w:rsidRPr="001E022F">
        <w:rPr>
          <w:szCs w:val="20"/>
        </w:rPr>
        <w:br/>
        <w:t>biodéchets. »</w:t>
      </w:r>
    </w:p>
    <w:p w14:paraId="085DA02E" w14:textId="17FE22CF" w:rsidR="00854E3C" w:rsidRPr="00B12BEE" w:rsidRDefault="003D2CCB" w:rsidP="00854E3C">
      <w:pPr>
        <w:rPr>
          <w:szCs w:val="20"/>
        </w:rPr>
      </w:pPr>
      <w:r>
        <w:rPr>
          <w:szCs w:val="20"/>
        </w:rPr>
        <w:t>Bien que f</w:t>
      </w:r>
      <w:r w:rsidR="00905144" w:rsidRPr="00B12BEE">
        <w:rPr>
          <w:szCs w:val="20"/>
        </w:rPr>
        <w:t>ixé</w:t>
      </w:r>
      <w:r w:rsidR="00F30B53" w:rsidRPr="00B12BEE">
        <w:rPr>
          <w:szCs w:val="20"/>
        </w:rPr>
        <w:t>e</w:t>
      </w:r>
      <w:r w:rsidR="00905144" w:rsidRPr="00B12BEE">
        <w:rPr>
          <w:szCs w:val="20"/>
        </w:rPr>
        <w:t xml:space="preserve"> </w:t>
      </w:r>
      <w:r>
        <w:rPr>
          <w:szCs w:val="20"/>
        </w:rPr>
        <w:t xml:space="preserve">par la loi, </w:t>
      </w:r>
      <w:r w:rsidR="00905144" w:rsidRPr="00B12BEE">
        <w:rPr>
          <w:szCs w:val="20"/>
        </w:rPr>
        <w:t xml:space="preserve">la généralisation du tri à la source des biodéchets peine </w:t>
      </w:r>
      <w:r w:rsidR="00311D71" w:rsidRPr="00B12BEE">
        <w:rPr>
          <w:szCs w:val="20"/>
        </w:rPr>
        <w:t xml:space="preserve">cependant </w:t>
      </w:r>
      <w:r w:rsidR="00905144" w:rsidRPr="00B12BEE">
        <w:rPr>
          <w:szCs w:val="20"/>
        </w:rPr>
        <w:t>à se mettre en place dans les collectivités françaises. En effet, la collecte séparée des biodéchets a été instauré</w:t>
      </w:r>
      <w:r w:rsidR="00F30B53" w:rsidRPr="00B12BEE">
        <w:rPr>
          <w:szCs w:val="20"/>
        </w:rPr>
        <w:t>e</w:t>
      </w:r>
      <w:r w:rsidR="00905144" w:rsidRPr="00B12BEE">
        <w:rPr>
          <w:szCs w:val="20"/>
        </w:rPr>
        <w:t xml:space="preserve"> dans environ 150 collectivités</w:t>
      </w:r>
      <w:r w:rsidR="00311D71" w:rsidRPr="00B12BEE">
        <w:rPr>
          <w:szCs w:val="20"/>
        </w:rPr>
        <w:t xml:space="preserve"> (couvrant 5,8 % de la population française) et </w:t>
      </w:r>
      <w:r w:rsidR="003C6742" w:rsidRPr="00B12BEE">
        <w:rPr>
          <w:szCs w:val="20"/>
        </w:rPr>
        <w:t>les</w:t>
      </w:r>
      <w:r w:rsidR="00311D71" w:rsidRPr="00B12BEE">
        <w:rPr>
          <w:szCs w:val="20"/>
        </w:rPr>
        <w:t xml:space="preserve"> démarches de gestion de proximité des biodéchets (compostage individuel, collectif, en pied d’immeuble) </w:t>
      </w:r>
      <w:r w:rsidR="003C6742" w:rsidRPr="00B12BEE">
        <w:rPr>
          <w:szCs w:val="20"/>
        </w:rPr>
        <w:t>sont</w:t>
      </w:r>
      <w:r w:rsidR="00C6564E" w:rsidRPr="00B12BEE">
        <w:rPr>
          <w:szCs w:val="20"/>
        </w:rPr>
        <w:t xml:space="preserve"> à renforcer</w:t>
      </w:r>
      <w:r w:rsidR="003C6742" w:rsidRPr="00B12BEE">
        <w:rPr>
          <w:szCs w:val="20"/>
        </w:rPr>
        <w:t xml:space="preserve"> pour atteindre cet objectif ambitieux.</w:t>
      </w:r>
    </w:p>
    <w:p w14:paraId="1749C94D" w14:textId="2D8DFCB3" w:rsidR="008C08D6" w:rsidRDefault="008C08D6" w:rsidP="00854E3C">
      <w:pPr>
        <w:rPr>
          <w:b/>
          <w:szCs w:val="20"/>
        </w:rPr>
      </w:pPr>
      <w:r w:rsidRPr="00B12BEE">
        <w:rPr>
          <w:b/>
          <w:szCs w:val="20"/>
        </w:rPr>
        <w:t>Ce nouveau calendrier</w:t>
      </w:r>
      <w:r w:rsidR="00397434" w:rsidRPr="00B12BEE">
        <w:rPr>
          <w:b/>
          <w:szCs w:val="20"/>
        </w:rPr>
        <w:t>, conduirait à</w:t>
      </w:r>
      <w:r w:rsidRPr="00B12BEE">
        <w:rPr>
          <w:b/>
          <w:szCs w:val="20"/>
        </w:rPr>
        <w:t xml:space="preserve"> rendre les soutiens financiers de l’ADEME légitime</w:t>
      </w:r>
      <w:r w:rsidR="008C08AD" w:rsidRPr="00B12BEE">
        <w:rPr>
          <w:b/>
          <w:szCs w:val="20"/>
        </w:rPr>
        <w:t>s</w:t>
      </w:r>
      <w:r w:rsidRPr="00B12BEE">
        <w:rPr>
          <w:b/>
          <w:szCs w:val="20"/>
        </w:rPr>
        <w:t xml:space="preserve"> uniquement jusqu’en 2023 ; </w:t>
      </w:r>
      <w:r w:rsidR="00F108E2" w:rsidRPr="00B12BEE">
        <w:rPr>
          <w:b/>
          <w:szCs w:val="20"/>
        </w:rPr>
        <w:t>l</w:t>
      </w:r>
      <w:r w:rsidRPr="00B12BEE">
        <w:rPr>
          <w:b/>
          <w:szCs w:val="20"/>
        </w:rPr>
        <w:t>e tri à la source des biodéchets devenant règlementairement obligatoire, à compter de cette date.</w:t>
      </w:r>
    </w:p>
    <w:p w14:paraId="3B242815" w14:textId="77777777" w:rsidR="007207FA" w:rsidRPr="00B12BEE" w:rsidRDefault="007207FA" w:rsidP="00854E3C">
      <w:pPr>
        <w:rPr>
          <w:b/>
          <w:szCs w:val="20"/>
        </w:rPr>
      </w:pPr>
    </w:p>
    <w:tbl>
      <w:tblPr>
        <w:tblStyle w:val="Grilledutableau"/>
        <w:tblW w:w="9634" w:type="dxa"/>
        <w:tblLook w:val="04A0" w:firstRow="1" w:lastRow="0" w:firstColumn="1" w:lastColumn="0" w:noHBand="0" w:noVBand="1"/>
      </w:tblPr>
      <w:tblGrid>
        <w:gridCol w:w="9634"/>
      </w:tblGrid>
      <w:tr w:rsidR="00280A16" w:rsidRPr="00B12BEE" w14:paraId="0763E583" w14:textId="77777777" w:rsidTr="00D77AA5">
        <w:tc>
          <w:tcPr>
            <w:tcW w:w="9634" w:type="dxa"/>
          </w:tcPr>
          <w:p w14:paraId="59F46C45" w14:textId="07E99A24" w:rsidR="00280A16" w:rsidRPr="00B12BEE" w:rsidRDefault="003D2CCB" w:rsidP="00280A16">
            <w:pPr>
              <w:spacing w:after="60" w:line="276" w:lineRule="auto"/>
              <w:rPr>
                <w:szCs w:val="20"/>
              </w:rPr>
            </w:pPr>
            <w:r>
              <w:rPr>
                <w:szCs w:val="20"/>
              </w:rPr>
              <w:t>De plus</w:t>
            </w:r>
            <w:r w:rsidR="00280A16" w:rsidRPr="00B12BEE">
              <w:rPr>
                <w:szCs w:val="20"/>
              </w:rPr>
              <w:t xml:space="preserve">, la </w:t>
            </w:r>
            <w:r>
              <w:rPr>
                <w:szCs w:val="20"/>
              </w:rPr>
              <w:t xml:space="preserve">loi AGEC </w:t>
            </w:r>
            <w:r w:rsidR="00280A16" w:rsidRPr="00B12BEE">
              <w:rPr>
                <w:szCs w:val="20"/>
              </w:rPr>
              <w:t>fixe des objectifs ambitieux en termes de réduction de tonnages de déchets produits, réduction de l’élimination et augmentation de la valorisation :</w:t>
            </w:r>
          </w:p>
          <w:p w14:paraId="10EA67E3" w14:textId="29998E2E" w:rsidR="00280A16" w:rsidRPr="003D2CCB" w:rsidRDefault="003D2CCB" w:rsidP="009B39A3">
            <w:pPr>
              <w:pStyle w:val="Paragraphedeliste"/>
              <w:numPr>
                <w:ilvl w:val="0"/>
                <w:numId w:val="3"/>
              </w:numPr>
              <w:spacing w:after="200" w:line="276" w:lineRule="auto"/>
              <w:rPr>
                <w:szCs w:val="20"/>
              </w:rPr>
            </w:pPr>
            <w:r>
              <w:rPr>
                <w:szCs w:val="20"/>
              </w:rPr>
              <w:t>Réduire de 15</w:t>
            </w:r>
            <w:r w:rsidR="00280A16" w:rsidRPr="00B12BEE">
              <w:rPr>
                <w:szCs w:val="20"/>
              </w:rPr>
              <w:t xml:space="preserve">% les quantités de déchets ménagers et assimilés produits par habitant et réduire les quantités de déchets d’activités économiques par unité de valeur produite, </w:t>
            </w:r>
            <w:r>
              <w:rPr>
                <w:szCs w:val="20"/>
              </w:rPr>
              <w:t>en 203</w:t>
            </w:r>
            <w:r w:rsidR="00280A16" w:rsidRPr="00B12BEE">
              <w:rPr>
                <w:szCs w:val="20"/>
              </w:rPr>
              <w:t>0 par rapport à 2010 ;</w:t>
            </w:r>
          </w:p>
          <w:p w14:paraId="609890EC" w14:textId="09677B50" w:rsidR="002124C8" w:rsidRPr="003D2CCB" w:rsidRDefault="003D2CCB" w:rsidP="003D2CCB">
            <w:pPr>
              <w:pStyle w:val="Paragraphedeliste"/>
              <w:numPr>
                <w:ilvl w:val="0"/>
                <w:numId w:val="3"/>
              </w:numPr>
              <w:spacing w:after="200" w:line="276" w:lineRule="auto"/>
              <w:rPr>
                <w:szCs w:val="20"/>
              </w:rPr>
            </w:pPr>
            <w:r w:rsidRPr="003D2CCB">
              <w:rPr>
                <w:szCs w:val="20"/>
              </w:rPr>
              <w:t>« </w:t>
            </w:r>
            <w:r w:rsidRPr="003D2CCB">
              <w:rPr>
                <w:iCs/>
                <w:szCs w:val="20"/>
              </w:rPr>
              <w:t>À compter du 1</w:t>
            </w:r>
            <w:r w:rsidRPr="003D2CCB">
              <w:rPr>
                <w:iCs/>
                <w:szCs w:val="20"/>
                <w:vertAlign w:val="superscript"/>
              </w:rPr>
              <w:t>er</w:t>
            </w:r>
            <w:r w:rsidRPr="003D2CCB">
              <w:rPr>
                <w:iCs/>
                <w:szCs w:val="20"/>
              </w:rPr>
              <w:t xml:space="preserve"> janvier 2023, </w:t>
            </w:r>
            <w:r w:rsidRPr="003D2CCB">
              <w:rPr>
                <w:b/>
                <w:bCs/>
                <w:iCs/>
                <w:szCs w:val="20"/>
              </w:rPr>
              <w:t xml:space="preserve">l’obligation de tri et de valorisation pour les gros producteurs de biodéchets </w:t>
            </w:r>
            <w:r w:rsidRPr="003D2CCB">
              <w:rPr>
                <w:iCs/>
                <w:szCs w:val="20"/>
              </w:rPr>
              <w:t>s’applique aux personnes qui produisent ou détiennent plus de cinq tonnes de biodéchets par an. </w:t>
            </w:r>
            <w:r>
              <w:rPr>
                <w:iCs/>
                <w:szCs w:val="20"/>
              </w:rPr>
              <w:t>P</w:t>
            </w:r>
            <w:r w:rsidR="00A962D5" w:rsidRPr="003D2CCB">
              <w:rPr>
                <w:szCs w:val="20"/>
              </w:rPr>
              <w:t>our mémoire, actuellement, seul</w:t>
            </w:r>
            <w:r w:rsidR="00074267">
              <w:rPr>
                <w:szCs w:val="20"/>
              </w:rPr>
              <w:t>s les producteurs de plus de 10</w:t>
            </w:r>
            <w:r w:rsidR="00DA1F67">
              <w:rPr>
                <w:szCs w:val="20"/>
              </w:rPr>
              <w:t xml:space="preserve"> </w:t>
            </w:r>
            <w:r w:rsidR="00A962D5" w:rsidRPr="003D2CCB">
              <w:rPr>
                <w:szCs w:val="20"/>
              </w:rPr>
              <w:t>t/an de biodéchets sont assujettis à cette obligation (depuis 2016).</w:t>
            </w:r>
          </w:p>
          <w:p w14:paraId="078DA7EF" w14:textId="1A03AFB5" w:rsidR="003D2CCB" w:rsidRPr="003D2CCB" w:rsidRDefault="003D2CCB" w:rsidP="003D2CCB">
            <w:pPr>
              <w:spacing w:after="200" w:line="276" w:lineRule="auto"/>
              <w:rPr>
                <w:szCs w:val="20"/>
              </w:rPr>
            </w:pPr>
            <w:r w:rsidRPr="00B12BEE">
              <w:rPr>
                <w:szCs w:val="20"/>
              </w:rPr>
              <w:t xml:space="preserve">En outre, la </w:t>
            </w:r>
            <w:r>
              <w:rPr>
                <w:szCs w:val="20"/>
              </w:rPr>
              <w:t>loi LTECV fixe également des objectifs</w:t>
            </w:r>
            <w:r w:rsidR="00074267">
              <w:rPr>
                <w:szCs w:val="20"/>
              </w:rPr>
              <w:t> :</w:t>
            </w:r>
          </w:p>
          <w:p w14:paraId="0BA03A9F" w14:textId="441A4BB3" w:rsidR="00280A16" w:rsidRPr="00B12BEE" w:rsidRDefault="00074267" w:rsidP="009B39A3">
            <w:pPr>
              <w:pStyle w:val="Paragraphedeliste"/>
              <w:numPr>
                <w:ilvl w:val="0"/>
                <w:numId w:val="3"/>
              </w:numPr>
              <w:spacing w:after="200" w:line="276" w:lineRule="auto"/>
              <w:rPr>
                <w:szCs w:val="20"/>
              </w:rPr>
            </w:pPr>
            <w:r>
              <w:rPr>
                <w:szCs w:val="20"/>
              </w:rPr>
              <w:t>Réduire de 50</w:t>
            </w:r>
            <w:r w:rsidR="00280A16" w:rsidRPr="00B12BEE">
              <w:rPr>
                <w:szCs w:val="20"/>
              </w:rPr>
              <w:t>% les déchets admis en installations de stockage (d’ici 2025 par rapport à 2010) ;</w:t>
            </w:r>
          </w:p>
          <w:p w14:paraId="2DE6B96A" w14:textId="7D5BAFC1" w:rsidR="00280A16" w:rsidRPr="00B12BEE" w:rsidRDefault="00280A16" w:rsidP="009B39A3">
            <w:pPr>
              <w:pStyle w:val="Paragraphedeliste"/>
              <w:numPr>
                <w:ilvl w:val="0"/>
                <w:numId w:val="3"/>
              </w:numPr>
              <w:spacing w:after="200" w:line="276" w:lineRule="auto"/>
              <w:rPr>
                <w:szCs w:val="20"/>
              </w:rPr>
            </w:pPr>
            <w:r w:rsidRPr="00B12BEE">
              <w:rPr>
                <w:szCs w:val="20"/>
              </w:rPr>
              <w:t>Augmenter la quantité de déchets faisant l’objet d’une valorisation sous forme de matière, notamment organique, en orientant vers ces filières de v</w:t>
            </w:r>
            <w:r w:rsidR="00074267">
              <w:rPr>
                <w:szCs w:val="20"/>
              </w:rPr>
              <w:t>alorisation, respectivement, 55% en 2020 et 65</w:t>
            </w:r>
            <w:r w:rsidRPr="00B12BEE">
              <w:rPr>
                <w:szCs w:val="20"/>
              </w:rPr>
              <w:t>% en 2025 des déchets non dangereux non inertes, mesurés en masse.</w:t>
            </w:r>
          </w:p>
        </w:tc>
      </w:tr>
    </w:tbl>
    <w:p w14:paraId="4C323A1C" w14:textId="19594B38" w:rsidR="006E2866" w:rsidRPr="00B12BEE" w:rsidRDefault="00F12B17" w:rsidP="00AF7DB9">
      <w:r>
        <w:t>La généralisation de tri à la source des biodéchets pour les producteurs (usagers et autres) collectés par service public de gestion des déchets vient</w:t>
      </w:r>
      <w:r w:rsidR="007A38ED" w:rsidRPr="00B12BEE">
        <w:t xml:space="preserve"> </w:t>
      </w:r>
      <w:r>
        <w:t xml:space="preserve">en complément à l’obligation de tri/valorisation des biodéchets pour les gros producteurs et </w:t>
      </w:r>
      <w:r w:rsidR="00176512" w:rsidRPr="00B12BEE">
        <w:t xml:space="preserve">constitue </w:t>
      </w:r>
      <w:r w:rsidR="007A38ED" w:rsidRPr="00B12BEE">
        <w:t>un des moyens pour attei</w:t>
      </w:r>
      <w:r>
        <w:t>ndre les objectifs</w:t>
      </w:r>
      <w:r w:rsidR="007A38ED" w:rsidRPr="00B12BEE">
        <w:t xml:space="preserve"> prévus par la </w:t>
      </w:r>
      <w:r w:rsidR="003D2CCB">
        <w:t>loi</w:t>
      </w:r>
      <w:r w:rsidR="007A38ED" w:rsidRPr="00B12BEE">
        <w:t>.</w:t>
      </w:r>
    </w:p>
    <w:p w14:paraId="7C0EA599" w14:textId="3A2FBB4C" w:rsidR="00176512" w:rsidRPr="00B12BEE" w:rsidRDefault="009A1B2D" w:rsidP="00AF7DB9">
      <w:r w:rsidRPr="00B12BEE">
        <w:t xml:space="preserve">Au niveau national, le </w:t>
      </w:r>
      <w:r w:rsidR="00176512" w:rsidRPr="00B12BEE">
        <w:t>plan</w:t>
      </w:r>
      <w:r w:rsidRPr="00B12BEE">
        <w:t xml:space="preserve"> </w:t>
      </w:r>
      <w:r w:rsidR="00176512" w:rsidRPr="00B12BEE">
        <w:t>de</w:t>
      </w:r>
      <w:r w:rsidRPr="00B12BEE">
        <w:t xml:space="preserve"> </w:t>
      </w:r>
      <w:r w:rsidR="00176512" w:rsidRPr="00B12BEE">
        <w:t>réduction</w:t>
      </w:r>
      <w:r w:rsidRPr="00B12BEE">
        <w:t xml:space="preserve"> </w:t>
      </w:r>
      <w:r w:rsidR="00176512" w:rsidRPr="00B12BEE">
        <w:t>des</w:t>
      </w:r>
      <w:r w:rsidRPr="00B12BEE">
        <w:t xml:space="preserve"> </w:t>
      </w:r>
      <w:r w:rsidR="00176512" w:rsidRPr="00B12BEE">
        <w:t>émissions de polluants atmosphériques (P</w:t>
      </w:r>
      <w:r w:rsidRPr="00B12BEE">
        <w:t>REPA</w:t>
      </w:r>
      <w:r w:rsidR="00EB1A8A" w:rsidRPr="00B12BEE">
        <w:t xml:space="preserve">), arrêté et </w:t>
      </w:r>
      <w:r w:rsidR="008727E6">
        <w:t>d</w:t>
      </w:r>
      <w:r w:rsidR="00176512" w:rsidRPr="00B12BEE">
        <w:t xml:space="preserve">écret du 10 mai 2017, fixe les actions prioritaires et les modalités opérationnelles </w:t>
      </w:r>
      <w:r w:rsidRPr="00B12BEE">
        <w:t xml:space="preserve">pour atteindre les objectifs </w:t>
      </w:r>
      <w:r w:rsidR="00176512" w:rsidRPr="00B12BEE">
        <w:t>de</w:t>
      </w:r>
      <w:r w:rsidRPr="00B12BEE">
        <w:t xml:space="preserve"> réduction des émissions de polluants dans </w:t>
      </w:r>
      <w:r w:rsidR="00176512" w:rsidRPr="00B12BEE">
        <w:t>l’air. Afin de lutter contre le brûlage à l’air libre des déchets verts, i</w:t>
      </w:r>
      <w:r w:rsidRPr="00B12BEE">
        <w:t xml:space="preserve">l </w:t>
      </w:r>
      <w:r w:rsidR="00176512" w:rsidRPr="00B12BEE">
        <w:t>prévoit</w:t>
      </w:r>
      <w:r w:rsidRPr="00B12BEE">
        <w:t xml:space="preserve"> notamment </w:t>
      </w:r>
      <w:r w:rsidR="00176512" w:rsidRPr="00B12BEE">
        <w:t xml:space="preserve">d’accompagner les collectivités pour la mise en place des filières alternatives au brûlage des </w:t>
      </w:r>
      <w:r w:rsidR="007207FA">
        <w:t>végétaux.</w:t>
      </w:r>
      <w:r w:rsidR="00176512" w:rsidRPr="00B12BEE">
        <w:rPr>
          <w:highlight w:val="yellow"/>
        </w:rPr>
        <w:t xml:space="preserve"> </w:t>
      </w:r>
    </w:p>
    <w:p w14:paraId="58F3D33F" w14:textId="7C914E16" w:rsidR="00176512" w:rsidRPr="00B12BEE" w:rsidRDefault="00176512" w:rsidP="00AF7DB9">
      <w:r w:rsidRPr="00B12BEE">
        <w:t>L’instauration d’un dispositif de tri à la source des biodéchets est l’occasion pour les collectivités locales à la fois de détourner des OMR, les biodéchets et de mettre en place les conditions de déploiement des alternati</w:t>
      </w:r>
      <w:r w:rsidR="003D2CCB">
        <w:t xml:space="preserve">ves au brûlage de </w:t>
      </w:r>
      <w:r w:rsidR="007207FA">
        <w:t>végétaux</w:t>
      </w:r>
      <w:r w:rsidR="003D2CCB">
        <w:t xml:space="preserve">, d’identifier ainsi les moyens d’optimiser les collectes de déchets tout en veillant à la maîtrise des coûts. </w:t>
      </w:r>
    </w:p>
    <w:p w14:paraId="2B935437" w14:textId="477540CD" w:rsidR="007207FA" w:rsidRDefault="007207FA" w:rsidP="007207FA">
      <w:pPr>
        <w:pStyle w:val="Titre1"/>
        <w:numPr>
          <w:ilvl w:val="0"/>
          <w:numId w:val="7"/>
        </w:numPr>
      </w:pPr>
      <w:r>
        <w:lastRenderedPageBreak/>
        <w:t>Contexte et enjeux r</w:t>
      </w:r>
      <w:r w:rsidR="00C12190">
        <w:t>é</w:t>
      </w:r>
      <w:r>
        <w:t>gionaux</w:t>
      </w:r>
    </w:p>
    <w:p w14:paraId="42157E93" w14:textId="72D4961E" w:rsidR="007D598D" w:rsidRDefault="007D598D" w:rsidP="007207FA">
      <w:pPr>
        <w:jc w:val="left"/>
      </w:pPr>
    </w:p>
    <w:p w14:paraId="20B9E55A" w14:textId="7A09071A" w:rsidR="009A2B11" w:rsidRPr="00B12BEE" w:rsidRDefault="009A2B11" w:rsidP="00B17489">
      <w:pPr>
        <w:rPr>
          <w:rFonts w:cs="Arial"/>
          <w:szCs w:val="20"/>
        </w:rPr>
      </w:pPr>
      <w:r w:rsidRPr="00B12BEE">
        <w:rPr>
          <w:rFonts w:cs="Arial"/>
          <w:szCs w:val="20"/>
        </w:rPr>
        <w:t>Le Plan Régional de Prévention et de Gestion</w:t>
      </w:r>
      <w:r w:rsidR="00DC1F97">
        <w:rPr>
          <w:rFonts w:cs="Arial"/>
          <w:szCs w:val="20"/>
        </w:rPr>
        <w:t xml:space="preserve"> des Déchets</w:t>
      </w:r>
      <w:r w:rsidRPr="00B12BEE">
        <w:rPr>
          <w:rFonts w:cs="Arial"/>
          <w:szCs w:val="20"/>
        </w:rPr>
        <w:t xml:space="preserve"> </w:t>
      </w:r>
      <w:r w:rsidR="00D141FB" w:rsidRPr="00B12BEE">
        <w:rPr>
          <w:rFonts w:cs="Arial"/>
          <w:szCs w:val="20"/>
        </w:rPr>
        <w:t>(PRPGD) de</w:t>
      </w:r>
      <w:r w:rsidR="00646159">
        <w:rPr>
          <w:rFonts w:cs="Arial"/>
          <w:szCs w:val="20"/>
        </w:rPr>
        <w:t xml:space="preserve"> la région Bretagne</w:t>
      </w:r>
      <w:r w:rsidRPr="00B12BEE">
        <w:rPr>
          <w:rFonts w:cs="Arial"/>
          <w:szCs w:val="20"/>
        </w:rPr>
        <w:t xml:space="preserve"> fait état</w:t>
      </w:r>
      <w:r w:rsidR="00D141FB" w:rsidRPr="00B12BEE">
        <w:rPr>
          <w:rFonts w:cs="Arial"/>
          <w:szCs w:val="20"/>
        </w:rPr>
        <w:t>,</w:t>
      </w:r>
      <w:r w:rsidRPr="00B12BEE">
        <w:rPr>
          <w:rFonts w:cs="Arial"/>
          <w:szCs w:val="20"/>
        </w:rPr>
        <w:t xml:space="preserve"> en</w:t>
      </w:r>
      <w:r w:rsidR="000F2D2A" w:rsidRPr="00B12BEE">
        <w:rPr>
          <w:rFonts w:cs="Arial"/>
          <w:szCs w:val="20"/>
        </w:rPr>
        <w:t xml:space="preserve"> </w:t>
      </w:r>
      <w:r w:rsidRPr="007207FA">
        <w:rPr>
          <w:rFonts w:cs="Arial"/>
          <w:szCs w:val="20"/>
        </w:rPr>
        <w:t>201</w:t>
      </w:r>
      <w:r w:rsidR="0028267B" w:rsidRPr="007207FA">
        <w:rPr>
          <w:rFonts w:cs="Arial"/>
          <w:szCs w:val="20"/>
        </w:rPr>
        <w:t>6</w:t>
      </w:r>
      <w:r w:rsidRPr="00B12BEE">
        <w:rPr>
          <w:rFonts w:cs="Arial"/>
          <w:szCs w:val="20"/>
        </w:rPr>
        <w:t xml:space="preserve"> :</w:t>
      </w:r>
    </w:p>
    <w:p w14:paraId="280ECADA" w14:textId="41E72495" w:rsidR="009A2B11" w:rsidRPr="00B12BEE" w:rsidRDefault="008727E6" w:rsidP="00301C22">
      <w:pPr>
        <w:pStyle w:val="Paragraphedeliste"/>
        <w:numPr>
          <w:ilvl w:val="0"/>
          <w:numId w:val="3"/>
        </w:numPr>
        <w:spacing w:after="120"/>
        <w:ind w:left="714" w:hanging="357"/>
        <w:contextualSpacing w:val="0"/>
        <w:rPr>
          <w:rFonts w:cs="Arial"/>
          <w:szCs w:val="20"/>
        </w:rPr>
      </w:pPr>
      <w:r>
        <w:rPr>
          <w:rFonts w:cs="Arial"/>
          <w:szCs w:val="20"/>
        </w:rPr>
        <w:t xml:space="preserve">D’une part non négligeable </w:t>
      </w:r>
      <w:r w:rsidR="00FD4B84">
        <w:rPr>
          <w:rFonts w:cs="Arial"/>
          <w:szCs w:val="20"/>
        </w:rPr>
        <w:t>de biodéchets estimée à</w:t>
      </w:r>
      <w:r w:rsidR="0028267B">
        <w:rPr>
          <w:rFonts w:cs="Arial"/>
          <w:szCs w:val="20"/>
        </w:rPr>
        <w:t xml:space="preserve"> 28</w:t>
      </w:r>
      <w:r>
        <w:rPr>
          <w:rFonts w:cs="Arial"/>
          <w:szCs w:val="20"/>
        </w:rPr>
        <w:t xml:space="preserve">% </w:t>
      </w:r>
      <w:r w:rsidR="003B432C">
        <w:rPr>
          <w:rFonts w:cs="Arial"/>
          <w:szCs w:val="20"/>
        </w:rPr>
        <w:t>dans les OM</w:t>
      </w:r>
      <w:r w:rsidR="0028267B">
        <w:rPr>
          <w:rFonts w:cs="Arial"/>
          <w:szCs w:val="20"/>
        </w:rPr>
        <w:t>R</w:t>
      </w:r>
      <w:r w:rsidR="003B432C">
        <w:rPr>
          <w:rFonts w:cs="Arial"/>
          <w:szCs w:val="20"/>
        </w:rPr>
        <w:t xml:space="preserve"> </w:t>
      </w:r>
      <w:r w:rsidR="00C12190">
        <w:rPr>
          <w:rFonts w:cs="Arial"/>
          <w:szCs w:val="20"/>
        </w:rPr>
        <w:t>(</w:t>
      </w:r>
      <w:r w:rsidR="001A3257" w:rsidRPr="007207FA">
        <w:rPr>
          <w:rFonts w:cs="Arial"/>
          <w:szCs w:val="20"/>
        </w:rPr>
        <w:t>209</w:t>
      </w:r>
      <w:r w:rsidR="000367D9">
        <w:rPr>
          <w:rFonts w:cs="Arial"/>
          <w:szCs w:val="20"/>
        </w:rPr>
        <w:t xml:space="preserve"> </w:t>
      </w:r>
      <w:r w:rsidR="003B432C" w:rsidRPr="007207FA">
        <w:rPr>
          <w:rFonts w:cs="Arial"/>
          <w:szCs w:val="20"/>
        </w:rPr>
        <w:t>k</w:t>
      </w:r>
      <w:r w:rsidR="003B432C" w:rsidRPr="00B12BEE">
        <w:rPr>
          <w:rFonts w:cs="Arial"/>
          <w:szCs w:val="20"/>
        </w:rPr>
        <w:t>g/hab</w:t>
      </w:r>
      <w:r w:rsidR="00C12190">
        <w:rPr>
          <w:rFonts w:cs="Arial"/>
          <w:szCs w:val="20"/>
        </w:rPr>
        <w:t>)</w:t>
      </w:r>
      <w:r w:rsidR="003B432C">
        <w:rPr>
          <w:rFonts w:cs="Arial"/>
          <w:szCs w:val="20"/>
        </w:rPr>
        <w:t xml:space="preserve"> soit un ratio d’environ de</w:t>
      </w:r>
      <w:r w:rsidR="001A3257">
        <w:rPr>
          <w:rFonts w:cs="Arial"/>
          <w:szCs w:val="20"/>
        </w:rPr>
        <w:t xml:space="preserve"> 5</w:t>
      </w:r>
      <w:r w:rsidR="00D141FB" w:rsidRPr="00B12BEE">
        <w:rPr>
          <w:rFonts w:cs="Arial"/>
          <w:szCs w:val="20"/>
        </w:rPr>
        <w:t>8 kg/hab de biodéchets</w:t>
      </w:r>
      <w:r w:rsidR="00C12190">
        <w:rPr>
          <w:rFonts w:cs="Arial"/>
          <w:szCs w:val="20"/>
        </w:rPr>
        <w:t xml:space="preserve"> restant dans les OMR</w:t>
      </w:r>
      <w:r w:rsidR="00DA1F67">
        <w:rPr>
          <w:rFonts w:cs="Arial"/>
          <w:szCs w:val="20"/>
        </w:rPr>
        <w:t> ;</w:t>
      </w:r>
    </w:p>
    <w:p w14:paraId="682FD68E" w14:textId="57CD000A" w:rsidR="009A2B11" w:rsidRPr="00B12BEE" w:rsidRDefault="008727E6" w:rsidP="00301C22">
      <w:pPr>
        <w:pStyle w:val="Paragraphedeliste"/>
        <w:numPr>
          <w:ilvl w:val="0"/>
          <w:numId w:val="3"/>
        </w:numPr>
        <w:spacing w:after="240"/>
        <w:ind w:left="714" w:hanging="357"/>
        <w:contextualSpacing w:val="0"/>
        <w:rPr>
          <w:rFonts w:cs="Arial"/>
          <w:szCs w:val="20"/>
        </w:rPr>
      </w:pPr>
      <w:r>
        <w:rPr>
          <w:rFonts w:cs="Arial"/>
          <w:szCs w:val="20"/>
        </w:rPr>
        <w:t xml:space="preserve">D’une </w:t>
      </w:r>
      <w:r w:rsidR="0028267B">
        <w:rPr>
          <w:rFonts w:cs="Arial"/>
          <w:szCs w:val="20"/>
        </w:rPr>
        <w:t>product</w:t>
      </w:r>
      <w:r w:rsidR="003B432C" w:rsidRPr="00B12BEE">
        <w:rPr>
          <w:rFonts w:cs="Arial"/>
          <w:szCs w:val="20"/>
        </w:rPr>
        <w:t xml:space="preserve">ion </w:t>
      </w:r>
      <w:r w:rsidR="0028267B">
        <w:rPr>
          <w:rFonts w:cs="Arial"/>
          <w:szCs w:val="20"/>
        </w:rPr>
        <w:t xml:space="preserve">importante </w:t>
      </w:r>
      <w:r w:rsidR="003B432C">
        <w:rPr>
          <w:rFonts w:cs="Arial"/>
          <w:szCs w:val="20"/>
        </w:rPr>
        <w:t xml:space="preserve">de </w:t>
      </w:r>
      <w:r w:rsidR="007207FA">
        <w:rPr>
          <w:rFonts w:cs="Arial"/>
          <w:szCs w:val="20"/>
        </w:rPr>
        <w:t>végétaux</w:t>
      </w:r>
      <w:r w:rsidR="003B432C">
        <w:rPr>
          <w:rFonts w:cs="Arial"/>
          <w:szCs w:val="20"/>
        </w:rPr>
        <w:t xml:space="preserve"> </w:t>
      </w:r>
      <w:r w:rsidR="009A2B11" w:rsidRPr="00B12BEE">
        <w:rPr>
          <w:rFonts w:cs="Arial"/>
          <w:szCs w:val="20"/>
        </w:rPr>
        <w:t xml:space="preserve">de </w:t>
      </w:r>
      <w:r w:rsidR="0028267B">
        <w:rPr>
          <w:rFonts w:cs="Arial"/>
          <w:szCs w:val="20"/>
        </w:rPr>
        <w:t>525 100</w:t>
      </w:r>
      <w:r w:rsidR="009A2B11" w:rsidRPr="00B12BEE">
        <w:rPr>
          <w:rFonts w:cs="Arial"/>
          <w:szCs w:val="20"/>
        </w:rPr>
        <w:t xml:space="preserve"> tonnes </w:t>
      </w:r>
      <w:r w:rsidR="000F2D2A" w:rsidRPr="00B12BEE">
        <w:rPr>
          <w:rFonts w:cs="Arial"/>
          <w:szCs w:val="20"/>
        </w:rPr>
        <w:t xml:space="preserve">collectés </w:t>
      </w:r>
      <w:r w:rsidR="0028267B">
        <w:rPr>
          <w:rFonts w:cs="Arial"/>
          <w:szCs w:val="20"/>
        </w:rPr>
        <w:t xml:space="preserve">en </w:t>
      </w:r>
      <w:r w:rsidR="00822813" w:rsidRPr="00B12BEE">
        <w:rPr>
          <w:rFonts w:cs="Arial"/>
          <w:szCs w:val="20"/>
        </w:rPr>
        <w:t>déchèterie</w:t>
      </w:r>
      <w:r w:rsidR="003B432C">
        <w:rPr>
          <w:rFonts w:cs="Arial"/>
          <w:szCs w:val="20"/>
        </w:rPr>
        <w:t xml:space="preserve">, soit </w:t>
      </w:r>
      <w:r w:rsidR="0028267B">
        <w:rPr>
          <w:rFonts w:cs="Arial"/>
          <w:szCs w:val="20"/>
        </w:rPr>
        <w:t>159 k</w:t>
      </w:r>
      <w:r w:rsidR="003B432C">
        <w:rPr>
          <w:rFonts w:cs="Arial"/>
          <w:szCs w:val="20"/>
        </w:rPr>
        <w:t>g/hab</w:t>
      </w:r>
      <w:r w:rsidR="00DA1F67">
        <w:rPr>
          <w:rFonts w:cs="Arial"/>
          <w:szCs w:val="20"/>
        </w:rPr>
        <w:t>.</w:t>
      </w:r>
    </w:p>
    <w:p w14:paraId="79733DE5" w14:textId="7A868072" w:rsidR="008727E6" w:rsidRDefault="008727E6" w:rsidP="00B12BEE">
      <w:pPr>
        <w:autoSpaceDE w:val="0"/>
        <w:autoSpaceDN w:val="0"/>
        <w:adjustRightInd w:val="0"/>
        <w:rPr>
          <w:rFonts w:cs="Arial"/>
          <w:szCs w:val="20"/>
        </w:rPr>
      </w:pPr>
      <w:r>
        <w:rPr>
          <w:rFonts w:cs="Arial"/>
          <w:szCs w:val="20"/>
        </w:rPr>
        <w:t>De la prévention à la</w:t>
      </w:r>
      <w:r w:rsidR="007207FA">
        <w:rPr>
          <w:rFonts w:cs="Arial"/>
          <w:szCs w:val="20"/>
        </w:rPr>
        <w:t xml:space="preserve"> valorisation des biodéchets : </w:t>
      </w:r>
    </w:p>
    <w:p w14:paraId="70739919" w14:textId="071CEEB7" w:rsidR="00F36650" w:rsidRPr="008727E6" w:rsidRDefault="00D141FB" w:rsidP="00C114E7">
      <w:pPr>
        <w:pStyle w:val="Paragraphedeliste"/>
        <w:numPr>
          <w:ilvl w:val="0"/>
          <w:numId w:val="20"/>
        </w:numPr>
        <w:autoSpaceDE w:val="0"/>
        <w:autoSpaceDN w:val="0"/>
        <w:adjustRightInd w:val="0"/>
        <w:spacing w:after="120"/>
        <w:ind w:left="714" w:hanging="357"/>
        <w:contextualSpacing w:val="0"/>
        <w:rPr>
          <w:rFonts w:cs="Arial"/>
          <w:szCs w:val="20"/>
        </w:rPr>
      </w:pPr>
      <w:r w:rsidRPr="008727E6">
        <w:rPr>
          <w:rFonts w:cs="Arial"/>
          <w:szCs w:val="20"/>
        </w:rPr>
        <w:t xml:space="preserve">Autour de la </w:t>
      </w:r>
      <w:r w:rsidRPr="008727E6">
        <w:rPr>
          <w:rFonts w:cs="Arial"/>
          <w:b/>
          <w:szCs w:val="20"/>
        </w:rPr>
        <w:t>lutte contre le gaspillage alimentaire,</w:t>
      </w:r>
      <w:r w:rsidRPr="008727E6">
        <w:rPr>
          <w:rFonts w:cs="Arial"/>
          <w:szCs w:val="20"/>
        </w:rPr>
        <w:t xml:space="preserve"> il a été recensé</w:t>
      </w:r>
      <w:r w:rsidR="00F36650" w:rsidRPr="008727E6">
        <w:rPr>
          <w:rFonts w:cs="Arial"/>
          <w:szCs w:val="20"/>
        </w:rPr>
        <w:t>, une multitude d’act</w:t>
      </w:r>
      <w:r w:rsidR="00EB1A8A" w:rsidRPr="008727E6">
        <w:rPr>
          <w:rFonts w:cs="Arial"/>
          <w:szCs w:val="20"/>
        </w:rPr>
        <w:t>ions, d’initiatives, de projets à développer :</w:t>
      </w:r>
      <w:r w:rsidR="000F472A" w:rsidRPr="008727E6">
        <w:rPr>
          <w:rFonts w:cs="Arial"/>
          <w:szCs w:val="20"/>
        </w:rPr>
        <w:t xml:space="preserve"> réduction</w:t>
      </w:r>
      <w:r w:rsidR="007C2FF8" w:rsidRPr="008727E6">
        <w:rPr>
          <w:rFonts w:cs="Arial"/>
          <w:szCs w:val="20"/>
        </w:rPr>
        <w:t xml:space="preserve"> de</w:t>
      </w:r>
      <w:r w:rsidR="000F472A" w:rsidRPr="008727E6">
        <w:rPr>
          <w:rFonts w:cs="Arial"/>
          <w:szCs w:val="20"/>
        </w:rPr>
        <w:t>s pertes alimentaires</w:t>
      </w:r>
      <w:r w:rsidR="007C2FF8" w:rsidRPr="008727E6">
        <w:rPr>
          <w:rFonts w:cs="Arial"/>
          <w:szCs w:val="20"/>
        </w:rPr>
        <w:t>,</w:t>
      </w:r>
      <w:r w:rsidR="000F472A" w:rsidRPr="008727E6">
        <w:rPr>
          <w:rFonts w:cs="Arial"/>
          <w:szCs w:val="20"/>
        </w:rPr>
        <w:t xml:space="preserve"> réutilisation des</w:t>
      </w:r>
      <w:r w:rsidR="007C2FF8" w:rsidRPr="008727E6">
        <w:rPr>
          <w:rFonts w:cs="Arial"/>
          <w:szCs w:val="20"/>
        </w:rPr>
        <w:t xml:space="preserve"> surplus, </w:t>
      </w:r>
      <w:r w:rsidR="000F472A" w:rsidRPr="008727E6">
        <w:rPr>
          <w:rFonts w:cs="Arial"/>
          <w:szCs w:val="20"/>
        </w:rPr>
        <w:t xml:space="preserve">don </w:t>
      </w:r>
      <w:r w:rsidR="00410AE3" w:rsidRPr="008727E6">
        <w:rPr>
          <w:rFonts w:cs="Arial"/>
          <w:szCs w:val="20"/>
        </w:rPr>
        <w:t xml:space="preserve">alimentaire, </w:t>
      </w:r>
      <w:r w:rsidR="00AF06A1" w:rsidRPr="008727E6">
        <w:rPr>
          <w:rFonts w:cs="Arial"/>
          <w:szCs w:val="20"/>
        </w:rPr>
        <w:t xml:space="preserve">… </w:t>
      </w:r>
    </w:p>
    <w:p w14:paraId="5244C341" w14:textId="1CF53AF2" w:rsidR="000F2D2A" w:rsidRPr="008727E6" w:rsidRDefault="00F36650" w:rsidP="00C114E7">
      <w:pPr>
        <w:pStyle w:val="Paragraphedeliste"/>
        <w:numPr>
          <w:ilvl w:val="0"/>
          <w:numId w:val="20"/>
        </w:numPr>
        <w:autoSpaceDE w:val="0"/>
        <w:autoSpaceDN w:val="0"/>
        <w:adjustRightInd w:val="0"/>
        <w:spacing w:after="120"/>
        <w:ind w:left="714" w:hanging="357"/>
        <w:contextualSpacing w:val="0"/>
        <w:rPr>
          <w:rFonts w:cs="Arial"/>
          <w:szCs w:val="20"/>
        </w:rPr>
      </w:pPr>
      <w:r w:rsidRPr="008727E6">
        <w:rPr>
          <w:rFonts w:cs="Arial"/>
          <w:szCs w:val="20"/>
        </w:rPr>
        <w:t xml:space="preserve">Concernant </w:t>
      </w:r>
      <w:r w:rsidRPr="008727E6">
        <w:rPr>
          <w:rFonts w:cs="Arial"/>
          <w:b/>
          <w:szCs w:val="20"/>
        </w:rPr>
        <w:t>la gestion de proximité des biodéchets</w:t>
      </w:r>
      <w:r w:rsidRPr="008727E6">
        <w:rPr>
          <w:rFonts w:cs="Arial"/>
          <w:szCs w:val="20"/>
        </w:rPr>
        <w:t>, la plupart des collectivités ont mis en place des actions dans</w:t>
      </w:r>
      <w:r w:rsidR="00D87EFB" w:rsidRPr="008727E6">
        <w:rPr>
          <w:rFonts w:cs="Arial"/>
          <w:szCs w:val="20"/>
        </w:rPr>
        <w:t xml:space="preserve"> le cadre des progra</w:t>
      </w:r>
      <w:r w:rsidRPr="008727E6">
        <w:rPr>
          <w:rFonts w:cs="Arial"/>
          <w:szCs w:val="20"/>
        </w:rPr>
        <w:t>mmes</w:t>
      </w:r>
      <w:r w:rsidR="0025192D">
        <w:rPr>
          <w:rFonts w:cs="Arial"/>
          <w:szCs w:val="20"/>
        </w:rPr>
        <w:t xml:space="preserve"> locaux</w:t>
      </w:r>
      <w:r w:rsidRPr="008727E6">
        <w:rPr>
          <w:rFonts w:cs="Arial"/>
          <w:szCs w:val="20"/>
        </w:rPr>
        <w:t xml:space="preserve"> de prévention des déchets mais restent à renforcer et à amplifier. De plus, les </w:t>
      </w:r>
      <w:r w:rsidR="000F2D2A" w:rsidRPr="008727E6">
        <w:rPr>
          <w:rFonts w:cs="Arial"/>
          <w:szCs w:val="20"/>
        </w:rPr>
        <w:t xml:space="preserve">quantités de biodéchets évitées et détournées par ces pratiques, </w:t>
      </w:r>
      <w:r w:rsidRPr="008727E6">
        <w:rPr>
          <w:rFonts w:cs="Arial"/>
          <w:szCs w:val="20"/>
        </w:rPr>
        <w:t>sont</w:t>
      </w:r>
      <w:r w:rsidR="000F2D2A" w:rsidRPr="008727E6">
        <w:rPr>
          <w:rFonts w:cs="Arial"/>
          <w:szCs w:val="20"/>
        </w:rPr>
        <w:t xml:space="preserve"> à ce jour, encore difficile à évaluer.</w:t>
      </w:r>
      <w:r w:rsidR="00BB2316" w:rsidRPr="008727E6">
        <w:rPr>
          <w:rFonts w:cs="Arial"/>
          <w:szCs w:val="20"/>
        </w:rPr>
        <w:t xml:space="preserve"> </w:t>
      </w:r>
    </w:p>
    <w:p w14:paraId="1513C630" w14:textId="13EDFAD0" w:rsidR="000F2D2A" w:rsidRDefault="00646159" w:rsidP="00C114E7">
      <w:pPr>
        <w:pStyle w:val="Paragraphedeliste"/>
        <w:numPr>
          <w:ilvl w:val="0"/>
          <w:numId w:val="20"/>
        </w:numPr>
        <w:autoSpaceDE w:val="0"/>
        <w:autoSpaceDN w:val="0"/>
        <w:adjustRightInd w:val="0"/>
        <w:spacing w:after="120"/>
        <w:ind w:left="714" w:hanging="357"/>
        <w:contextualSpacing w:val="0"/>
        <w:rPr>
          <w:rFonts w:cs="Arial"/>
          <w:szCs w:val="20"/>
        </w:rPr>
      </w:pPr>
      <w:r>
        <w:rPr>
          <w:rFonts w:cs="Arial"/>
          <w:szCs w:val="20"/>
        </w:rPr>
        <w:t>2</w:t>
      </w:r>
      <w:r w:rsidR="000F2D2A" w:rsidRPr="00B12BEE">
        <w:rPr>
          <w:rFonts w:cs="Arial"/>
          <w:szCs w:val="20"/>
        </w:rPr>
        <w:t xml:space="preserve"> collectivités </w:t>
      </w:r>
      <w:r>
        <w:rPr>
          <w:rFonts w:cs="Arial"/>
          <w:szCs w:val="20"/>
        </w:rPr>
        <w:t xml:space="preserve">ont mis en place </w:t>
      </w:r>
      <w:r w:rsidR="007D0C86" w:rsidRPr="00B12BEE">
        <w:rPr>
          <w:rFonts w:cs="Arial"/>
          <w:szCs w:val="20"/>
        </w:rPr>
        <w:t xml:space="preserve">la </w:t>
      </w:r>
      <w:r w:rsidR="007D0C86" w:rsidRPr="00AF7DB9">
        <w:rPr>
          <w:rFonts w:cs="Arial"/>
          <w:b/>
          <w:szCs w:val="20"/>
        </w:rPr>
        <w:t>colle</w:t>
      </w:r>
      <w:r w:rsidR="000F16E6" w:rsidRPr="00AF7DB9">
        <w:rPr>
          <w:rFonts w:cs="Arial"/>
          <w:b/>
          <w:szCs w:val="20"/>
        </w:rPr>
        <w:t>cte séparée des biodéchet</w:t>
      </w:r>
      <w:r w:rsidR="0028267B">
        <w:rPr>
          <w:rFonts w:cs="Arial"/>
          <w:b/>
          <w:szCs w:val="20"/>
        </w:rPr>
        <w:t>s</w:t>
      </w:r>
      <w:r w:rsidR="001A3257">
        <w:rPr>
          <w:rFonts w:cs="Arial"/>
          <w:b/>
          <w:szCs w:val="20"/>
        </w:rPr>
        <w:t xml:space="preserve"> en porte à porte </w:t>
      </w:r>
      <w:r w:rsidR="00B12BEE" w:rsidRPr="00B12BEE">
        <w:rPr>
          <w:rFonts w:cs="Arial"/>
          <w:szCs w:val="20"/>
        </w:rPr>
        <w:t xml:space="preserve">qui sont </w:t>
      </w:r>
      <w:r w:rsidR="000F16E6" w:rsidRPr="00B12BEE">
        <w:rPr>
          <w:rFonts w:cs="Arial"/>
          <w:szCs w:val="20"/>
        </w:rPr>
        <w:t>majoritairement compostés.</w:t>
      </w:r>
      <w:r w:rsidR="000F2D2A" w:rsidRPr="00B12BEE">
        <w:rPr>
          <w:rFonts w:cs="Arial"/>
          <w:szCs w:val="20"/>
        </w:rPr>
        <w:t xml:space="preserve"> </w:t>
      </w:r>
      <w:r w:rsidR="00EB1A8A" w:rsidRPr="00B12BEE">
        <w:rPr>
          <w:rFonts w:cs="Arial"/>
          <w:szCs w:val="20"/>
        </w:rPr>
        <w:t xml:space="preserve">Ce sujet est </w:t>
      </w:r>
      <w:r w:rsidR="000F2D2A" w:rsidRPr="00B12BEE">
        <w:rPr>
          <w:rFonts w:cs="Arial"/>
          <w:szCs w:val="20"/>
        </w:rPr>
        <w:t>en plein</w:t>
      </w:r>
      <w:r w:rsidR="007C2FF8" w:rsidRPr="00B12BEE">
        <w:rPr>
          <w:rFonts w:cs="Arial"/>
          <w:szCs w:val="20"/>
        </w:rPr>
        <w:t>e évolution</w:t>
      </w:r>
      <w:r w:rsidR="00EB7ACB">
        <w:rPr>
          <w:rFonts w:cs="Arial"/>
          <w:szCs w:val="20"/>
        </w:rPr>
        <w:t>. S</w:t>
      </w:r>
      <w:r w:rsidR="007C2FF8" w:rsidRPr="00B12BEE">
        <w:rPr>
          <w:rFonts w:cs="Arial"/>
          <w:szCs w:val="20"/>
        </w:rPr>
        <w:t>a réussite dépend de sa bonne intégration dans le service public gestion des déchets ménagers</w:t>
      </w:r>
      <w:r w:rsidR="00EB7ACB">
        <w:rPr>
          <w:rFonts w:cs="Arial"/>
          <w:szCs w:val="20"/>
        </w:rPr>
        <w:t>.</w:t>
      </w:r>
    </w:p>
    <w:p w14:paraId="2BBBBF5A" w14:textId="6C020DD1" w:rsidR="001A3257" w:rsidRPr="00B12BEE" w:rsidRDefault="001A3257" w:rsidP="00C114E7">
      <w:pPr>
        <w:pStyle w:val="Paragraphedeliste"/>
        <w:numPr>
          <w:ilvl w:val="0"/>
          <w:numId w:val="20"/>
        </w:numPr>
        <w:autoSpaceDE w:val="0"/>
        <w:autoSpaceDN w:val="0"/>
        <w:adjustRightInd w:val="0"/>
        <w:spacing w:after="120"/>
        <w:ind w:left="714" w:hanging="357"/>
        <w:contextualSpacing w:val="0"/>
        <w:rPr>
          <w:rFonts w:cs="Arial"/>
          <w:szCs w:val="20"/>
        </w:rPr>
      </w:pPr>
      <w:r>
        <w:rPr>
          <w:rFonts w:cs="Arial"/>
          <w:szCs w:val="20"/>
        </w:rPr>
        <w:t xml:space="preserve">Quelques collectivités </w:t>
      </w:r>
      <w:r w:rsidR="0025192D">
        <w:rPr>
          <w:rFonts w:cs="Arial"/>
          <w:szCs w:val="20"/>
        </w:rPr>
        <w:t xml:space="preserve">bretonnes </w:t>
      </w:r>
      <w:r>
        <w:rPr>
          <w:rFonts w:cs="Arial"/>
          <w:szCs w:val="20"/>
        </w:rPr>
        <w:t xml:space="preserve">ont expérimenté la collecte des </w:t>
      </w:r>
      <w:r w:rsidR="0025192D">
        <w:rPr>
          <w:rFonts w:cs="Arial"/>
          <w:szCs w:val="20"/>
        </w:rPr>
        <w:t>biodéchets de structures con</w:t>
      </w:r>
      <w:r w:rsidR="000D1454">
        <w:rPr>
          <w:rFonts w:cs="Arial"/>
          <w:szCs w:val="20"/>
        </w:rPr>
        <w:t>s</w:t>
      </w:r>
      <w:r w:rsidR="0025192D">
        <w:rPr>
          <w:rFonts w:cs="Arial"/>
          <w:szCs w:val="20"/>
        </w:rPr>
        <w:t>idérées comme gros producteurs de biodéchets, le SITTOM MI expérimente la collecte en point d’apport volontaire</w:t>
      </w:r>
      <w:r w:rsidR="00DA1F67">
        <w:rPr>
          <w:rFonts w:cs="Arial"/>
          <w:szCs w:val="20"/>
        </w:rPr>
        <w:t>.</w:t>
      </w:r>
    </w:p>
    <w:p w14:paraId="4C173ADE" w14:textId="5AF79367" w:rsidR="000367D9" w:rsidRDefault="00340F7C" w:rsidP="000367D9">
      <w:pPr>
        <w:pStyle w:val="Paragraphedeliste"/>
        <w:numPr>
          <w:ilvl w:val="0"/>
          <w:numId w:val="20"/>
        </w:numPr>
        <w:autoSpaceDE w:val="0"/>
        <w:autoSpaceDN w:val="0"/>
        <w:adjustRightInd w:val="0"/>
        <w:spacing w:after="120"/>
        <w:contextualSpacing w:val="0"/>
        <w:rPr>
          <w:rFonts w:cs="Arial"/>
          <w:szCs w:val="20"/>
        </w:rPr>
      </w:pPr>
      <w:r w:rsidRPr="000367D9">
        <w:rPr>
          <w:rFonts w:cs="Arial"/>
          <w:szCs w:val="20"/>
        </w:rPr>
        <w:t xml:space="preserve">Les déchets de cuisine et de table sont soumis à la règlementation sanitaire </w:t>
      </w:r>
      <w:r w:rsidR="000D1454">
        <w:rPr>
          <w:rFonts w:cs="Arial"/>
          <w:szCs w:val="20"/>
        </w:rPr>
        <w:t xml:space="preserve">européenne </w:t>
      </w:r>
      <w:r w:rsidRPr="000367D9">
        <w:rPr>
          <w:rFonts w:cs="Arial"/>
          <w:szCs w:val="20"/>
        </w:rPr>
        <w:t>sur les sous-produits animaux. Dès lors, ils doivent être valorisé</w:t>
      </w:r>
      <w:r w:rsidR="0028267B" w:rsidRPr="000367D9">
        <w:rPr>
          <w:rFonts w:cs="Arial"/>
          <w:szCs w:val="20"/>
        </w:rPr>
        <w:t>s</w:t>
      </w:r>
      <w:r w:rsidRPr="000367D9">
        <w:rPr>
          <w:rFonts w:cs="Arial"/>
          <w:szCs w:val="20"/>
        </w:rPr>
        <w:t xml:space="preserve"> dans des </w:t>
      </w:r>
      <w:r w:rsidRPr="000367D9">
        <w:rPr>
          <w:rFonts w:cs="Arial"/>
          <w:b/>
          <w:szCs w:val="20"/>
        </w:rPr>
        <w:t>installations de traitement disposant de l’agrément sanitaire</w:t>
      </w:r>
      <w:r w:rsidRPr="000367D9">
        <w:rPr>
          <w:rFonts w:cs="Arial"/>
          <w:szCs w:val="20"/>
        </w:rPr>
        <w:t xml:space="preserve"> ad hoc. (cf guide pratique ADEME d’accession à l’agrément sanitaire pour le traitement de sous-produits animaux). </w:t>
      </w:r>
      <w:r w:rsidR="00B12BEE" w:rsidRPr="000367D9">
        <w:rPr>
          <w:rFonts w:cs="Arial"/>
          <w:szCs w:val="20"/>
        </w:rPr>
        <w:t xml:space="preserve">En </w:t>
      </w:r>
      <w:r w:rsidR="000367D9" w:rsidRPr="000367D9">
        <w:rPr>
          <w:rFonts w:cs="Arial"/>
          <w:szCs w:val="20"/>
        </w:rPr>
        <w:t>Bretagne,</w:t>
      </w:r>
      <w:r w:rsidR="00AF7DB9" w:rsidRPr="000367D9">
        <w:rPr>
          <w:rFonts w:cs="Arial"/>
          <w:szCs w:val="20"/>
        </w:rPr>
        <w:t xml:space="preserve"> </w:t>
      </w:r>
      <w:r w:rsidR="000367D9" w:rsidRPr="000367D9">
        <w:rPr>
          <w:rFonts w:cs="Arial"/>
          <w:szCs w:val="20"/>
        </w:rPr>
        <w:t xml:space="preserve">les </w:t>
      </w:r>
      <w:r w:rsidR="00AF7DB9" w:rsidRPr="000367D9">
        <w:rPr>
          <w:rFonts w:cs="Arial"/>
          <w:szCs w:val="20"/>
        </w:rPr>
        <w:t>installations</w:t>
      </w:r>
      <w:r w:rsidR="000F2D2A" w:rsidRPr="000367D9">
        <w:rPr>
          <w:rFonts w:cs="Arial"/>
          <w:szCs w:val="20"/>
        </w:rPr>
        <w:t xml:space="preserve"> agréé</w:t>
      </w:r>
      <w:r w:rsidR="00B12BEE" w:rsidRPr="000367D9">
        <w:rPr>
          <w:rFonts w:cs="Arial"/>
          <w:szCs w:val="20"/>
        </w:rPr>
        <w:t>e</w:t>
      </w:r>
      <w:r w:rsidR="00BB2316" w:rsidRPr="000367D9">
        <w:rPr>
          <w:rFonts w:cs="Arial"/>
          <w:szCs w:val="20"/>
        </w:rPr>
        <w:t>s</w:t>
      </w:r>
      <w:r w:rsidR="00AF7DB9" w:rsidRPr="000367D9">
        <w:rPr>
          <w:rFonts w:cs="Arial"/>
          <w:szCs w:val="20"/>
        </w:rPr>
        <w:t xml:space="preserve"> ont été recensées </w:t>
      </w:r>
      <w:r w:rsidR="000367D9" w:rsidRPr="000367D9">
        <w:rPr>
          <w:rFonts w:cs="Arial"/>
          <w:szCs w:val="20"/>
        </w:rPr>
        <w:t>et sont accessibles sur</w:t>
      </w:r>
      <w:r w:rsidR="000367D9">
        <w:rPr>
          <w:rFonts w:cs="Arial"/>
          <w:szCs w:val="20"/>
        </w:rPr>
        <w:t xml:space="preserve"> le site de l’Observatoire de l’environnement en Bretagne</w:t>
      </w:r>
      <w:r w:rsidR="00DA1F67">
        <w:rPr>
          <w:rFonts w:cs="Arial"/>
          <w:szCs w:val="20"/>
        </w:rPr>
        <w:t> :</w:t>
      </w:r>
    </w:p>
    <w:p w14:paraId="366B7CF9" w14:textId="77777777" w:rsidR="00DA1F67" w:rsidRDefault="00AD07DC" w:rsidP="00DA1F67">
      <w:pPr>
        <w:pStyle w:val="Paragraphedeliste"/>
        <w:numPr>
          <w:ilvl w:val="0"/>
          <w:numId w:val="42"/>
        </w:numPr>
        <w:autoSpaceDE w:val="0"/>
        <w:autoSpaceDN w:val="0"/>
        <w:adjustRightInd w:val="0"/>
        <w:spacing w:after="120"/>
        <w:contextualSpacing w:val="0"/>
        <w:rPr>
          <w:rFonts w:cs="Arial"/>
          <w:szCs w:val="20"/>
        </w:rPr>
      </w:pPr>
      <w:hyperlink r:id="rId13" w:history="1">
        <w:r w:rsidR="000367D9" w:rsidRPr="00387297">
          <w:rPr>
            <w:rStyle w:val="Lienhypertexte"/>
            <w:rFonts w:cs="Arial"/>
            <w:szCs w:val="20"/>
          </w:rPr>
          <w:t>https://bretagne-environnement.fr/installations-methanisation-bretagne-evolution-datavisualisation</w:t>
        </w:r>
      </w:hyperlink>
      <w:r w:rsidR="00DA1F67">
        <w:rPr>
          <w:rFonts w:cs="Arial"/>
          <w:szCs w:val="20"/>
        </w:rPr>
        <w:t xml:space="preserve"> </w:t>
      </w:r>
    </w:p>
    <w:p w14:paraId="1387D88E" w14:textId="633D0165" w:rsidR="000367D9" w:rsidRPr="000367D9" w:rsidRDefault="00AD07DC" w:rsidP="00DA1F67">
      <w:pPr>
        <w:pStyle w:val="Paragraphedeliste"/>
        <w:numPr>
          <w:ilvl w:val="0"/>
          <w:numId w:val="42"/>
        </w:numPr>
        <w:autoSpaceDE w:val="0"/>
        <w:autoSpaceDN w:val="0"/>
        <w:adjustRightInd w:val="0"/>
        <w:spacing w:after="120"/>
        <w:contextualSpacing w:val="0"/>
        <w:rPr>
          <w:rFonts w:cs="Arial"/>
          <w:szCs w:val="20"/>
        </w:rPr>
      </w:pPr>
      <w:hyperlink r:id="rId14" w:history="1">
        <w:r w:rsidR="000367D9" w:rsidRPr="00387297">
          <w:rPr>
            <w:rStyle w:val="Lienhypertexte"/>
            <w:szCs w:val="20"/>
          </w:rPr>
          <w:t>https://bretagne-environnement.fr/les-chiffres-cles-2016-des-dechets-en-bretagne-les-donnees-analyses-de-l-observatoire-de-l-environnement-en-bretagne</w:t>
        </w:r>
      </w:hyperlink>
    </w:p>
    <w:p w14:paraId="0BE95AE4" w14:textId="3F6C6322" w:rsidR="000F2D2A" w:rsidRPr="00B12BEE" w:rsidRDefault="000F2D2A" w:rsidP="000F2D2A">
      <w:pPr>
        <w:autoSpaceDE w:val="0"/>
        <w:autoSpaceDN w:val="0"/>
        <w:adjustRightInd w:val="0"/>
        <w:jc w:val="left"/>
        <w:rPr>
          <w:rFonts w:cs="Arial"/>
          <w:szCs w:val="20"/>
        </w:rPr>
      </w:pPr>
    </w:p>
    <w:tbl>
      <w:tblPr>
        <w:tblStyle w:val="Grilledutableau"/>
        <w:tblW w:w="0" w:type="auto"/>
        <w:tblLook w:val="04A0" w:firstRow="1" w:lastRow="0" w:firstColumn="1" w:lastColumn="0" w:noHBand="0" w:noVBand="1"/>
      </w:tblPr>
      <w:tblGrid>
        <w:gridCol w:w="9493"/>
      </w:tblGrid>
      <w:tr w:rsidR="006E436C" w:rsidRPr="00B12BEE" w14:paraId="20C187BD" w14:textId="77777777" w:rsidTr="00C114E7">
        <w:tc>
          <w:tcPr>
            <w:tcW w:w="9493" w:type="dxa"/>
          </w:tcPr>
          <w:p w14:paraId="2CBEE903" w14:textId="3CE1D265" w:rsidR="006E436C" w:rsidRDefault="00A962D5" w:rsidP="00AF7DB9">
            <w:pPr>
              <w:spacing w:after="120" w:line="276" w:lineRule="auto"/>
              <w:rPr>
                <w:rFonts w:cs="Arial"/>
                <w:szCs w:val="20"/>
              </w:rPr>
            </w:pPr>
            <w:r>
              <w:rPr>
                <w:rFonts w:cs="Arial"/>
                <w:szCs w:val="20"/>
              </w:rPr>
              <w:t>L</w:t>
            </w:r>
            <w:r w:rsidR="006E436C" w:rsidRPr="00B12BEE">
              <w:rPr>
                <w:rFonts w:cs="Arial"/>
                <w:szCs w:val="20"/>
              </w:rPr>
              <w:t xml:space="preserve">e plan régional de prévention et de gestion des déchets de la Région </w:t>
            </w:r>
            <w:r>
              <w:rPr>
                <w:rFonts w:cs="Arial"/>
                <w:szCs w:val="20"/>
              </w:rPr>
              <w:t xml:space="preserve">Bretagne </w:t>
            </w:r>
            <w:r w:rsidR="000F16E6" w:rsidRPr="00B12BEE">
              <w:rPr>
                <w:rFonts w:cs="Arial"/>
                <w:szCs w:val="20"/>
              </w:rPr>
              <w:t xml:space="preserve">propose </w:t>
            </w:r>
            <w:r w:rsidR="006E436C" w:rsidRPr="00B12BEE">
              <w:rPr>
                <w:rFonts w:cs="Arial"/>
                <w:szCs w:val="20"/>
              </w:rPr>
              <w:t>:</w:t>
            </w:r>
          </w:p>
          <w:p w14:paraId="69E8145B" w14:textId="695D00AC" w:rsidR="00AA488B" w:rsidRPr="001A3257" w:rsidRDefault="00AA488B" w:rsidP="00AA488B">
            <w:pPr>
              <w:pStyle w:val="Paragraphedeliste"/>
              <w:numPr>
                <w:ilvl w:val="0"/>
                <w:numId w:val="3"/>
              </w:numPr>
              <w:spacing w:after="80"/>
              <w:ind w:left="714" w:hanging="357"/>
              <w:contextualSpacing w:val="0"/>
              <w:rPr>
                <w:rFonts w:cs="Arial"/>
                <w:szCs w:val="20"/>
              </w:rPr>
            </w:pPr>
            <w:r w:rsidRPr="001A3257">
              <w:rPr>
                <w:rFonts w:cs="Arial"/>
                <w:b/>
                <w:szCs w:val="20"/>
              </w:rPr>
              <w:t>Concernant les biodéchets :</w:t>
            </w:r>
            <w:r w:rsidRPr="001A3257">
              <w:rPr>
                <w:rFonts w:cs="Arial"/>
                <w:szCs w:val="20"/>
              </w:rPr>
              <w:t xml:space="preserve"> un objectif global de séparation et détournement des biodéchets de la poubelle résiduelle, conséquence de la lutte contre le gaspillage alimentaire et la mise en place du tri à la source des biodéchets (gestion de proximité et collecte).</w:t>
            </w:r>
          </w:p>
          <w:p w14:paraId="0761CD31" w14:textId="44ACC1FF" w:rsidR="00AA488B" w:rsidRPr="001A3257" w:rsidRDefault="00DA1F67" w:rsidP="00AA488B">
            <w:pPr>
              <w:pStyle w:val="Paragraphedeliste"/>
              <w:numPr>
                <w:ilvl w:val="1"/>
                <w:numId w:val="3"/>
              </w:numPr>
              <w:spacing w:before="80"/>
              <w:ind w:left="1434" w:hanging="357"/>
              <w:contextualSpacing w:val="0"/>
              <w:rPr>
                <w:rFonts w:cs="Arial"/>
                <w:i/>
                <w:szCs w:val="20"/>
              </w:rPr>
            </w:pPr>
            <w:r>
              <w:rPr>
                <w:rFonts w:cs="Arial"/>
                <w:i/>
                <w:szCs w:val="20"/>
              </w:rPr>
              <w:t>100</w:t>
            </w:r>
            <w:r w:rsidR="002A39AA" w:rsidRPr="001A3257">
              <w:rPr>
                <w:rFonts w:cs="Arial"/>
                <w:i/>
                <w:szCs w:val="20"/>
              </w:rPr>
              <w:t>% de la population doit avoir accès à une solution de tri à la source des biodéchets d’ici</w:t>
            </w:r>
            <w:r w:rsidR="00B65C75">
              <w:rPr>
                <w:rFonts w:cs="Arial"/>
                <w:i/>
                <w:szCs w:val="20"/>
              </w:rPr>
              <w:t xml:space="preserve"> le 1</w:t>
            </w:r>
            <w:r w:rsidR="00B65C75" w:rsidRPr="00B65C75">
              <w:rPr>
                <w:rFonts w:cs="Arial"/>
                <w:i/>
                <w:szCs w:val="20"/>
                <w:vertAlign w:val="superscript"/>
              </w:rPr>
              <w:t>er</w:t>
            </w:r>
            <w:r>
              <w:rPr>
                <w:rFonts w:cs="Arial"/>
                <w:i/>
                <w:szCs w:val="20"/>
              </w:rPr>
              <w:t xml:space="preserve"> janvier 2024 ;</w:t>
            </w:r>
          </w:p>
          <w:p w14:paraId="4E097404" w14:textId="1F973B4F" w:rsidR="00AA488B" w:rsidRPr="001A3257" w:rsidRDefault="002A39AA" w:rsidP="00AA488B">
            <w:pPr>
              <w:pStyle w:val="Paragraphedeliste"/>
              <w:numPr>
                <w:ilvl w:val="1"/>
                <w:numId w:val="3"/>
              </w:numPr>
              <w:spacing w:before="80"/>
              <w:contextualSpacing w:val="0"/>
              <w:rPr>
                <w:rFonts w:cs="Arial"/>
                <w:szCs w:val="20"/>
              </w:rPr>
            </w:pPr>
            <w:r w:rsidRPr="001A3257">
              <w:rPr>
                <w:rFonts w:cs="Arial"/>
                <w:i/>
                <w:szCs w:val="20"/>
              </w:rPr>
              <w:t xml:space="preserve">Tous les professionnels doivent mettre en place le tri à la source des biodéchets d’ici </w:t>
            </w:r>
            <w:r w:rsidR="00B65C75">
              <w:rPr>
                <w:rFonts w:cs="Arial"/>
                <w:i/>
                <w:szCs w:val="20"/>
              </w:rPr>
              <w:t>le 1</w:t>
            </w:r>
            <w:r w:rsidR="00B65C75" w:rsidRPr="00B65C75">
              <w:rPr>
                <w:rFonts w:cs="Arial"/>
                <w:i/>
                <w:szCs w:val="20"/>
                <w:vertAlign w:val="superscript"/>
              </w:rPr>
              <w:t>er</w:t>
            </w:r>
            <w:r w:rsidR="00B65C75">
              <w:rPr>
                <w:rFonts w:cs="Arial"/>
                <w:i/>
                <w:szCs w:val="20"/>
              </w:rPr>
              <w:t xml:space="preserve"> janvier </w:t>
            </w:r>
            <w:r w:rsidR="00DA1F67">
              <w:rPr>
                <w:rFonts w:cs="Arial"/>
                <w:i/>
                <w:szCs w:val="20"/>
              </w:rPr>
              <w:t>2023 ;</w:t>
            </w:r>
          </w:p>
          <w:p w14:paraId="3E514F13" w14:textId="6552AA18" w:rsidR="00AA488B" w:rsidRPr="00DA1F67" w:rsidRDefault="001A3257" w:rsidP="00DA1F67">
            <w:pPr>
              <w:pStyle w:val="Paragraphedeliste"/>
              <w:numPr>
                <w:ilvl w:val="1"/>
                <w:numId w:val="3"/>
              </w:numPr>
              <w:spacing w:before="80"/>
              <w:contextualSpacing w:val="0"/>
              <w:rPr>
                <w:rFonts w:cs="Arial"/>
                <w:szCs w:val="20"/>
              </w:rPr>
            </w:pPr>
            <w:r w:rsidRPr="001A3257">
              <w:rPr>
                <w:rFonts w:cs="Arial"/>
                <w:i/>
                <w:szCs w:val="20"/>
              </w:rPr>
              <w:t>Réduction de la par</w:t>
            </w:r>
            <w:r w:rsidR="00DA1F67">
              <w:rPr>
                <w:rFonts w:cs="Arial"/>
                <w:i/>
                <w:szCs w:val="20"/>
              </w:rPr>
              <w:t>tie fermentescible des OMR à 20% en 2025 et 15% en 2030.</w:t>
            </w:r>
          </w:p>
          <w:p w14:paraId="2C5A56D2" w14:textId="7885C676" w:rsidR="006E436C" w:rsidRPr="00DA1F67" w:rsidRDefault="001A3257" w:rsidP="00DA1F67">
            <w:pPr>
              <w:pStyle w:val="Paragraphedeliste"/>
              <w:numPr>
                <w:ilvl w:val="0"/>
                <w:numId w:val="3"/>
              </w:numPr>
              <w:spacing w:after="120"/>
              <w:ind w:left="714" w:hanging="357"/>
              <w:contextualSpacing w:val="0"/>
              <w:rPr>
                <w:rFonts w:cs="Arial"/>
                <w:szCs w:val="20"/>
              </w:rPr>
            </w:pPr>
            <w:r w:rsidRPr="001A3257">
              <w:rPr>
                <w:rFonts w:cs="Arial"/>
                <w:b/>
                <w:szCs w:val="20"/>
              </w:rPr>
              <w:t xml:space="preserve">Concernant les végétaux </w:t>
            </w:r>
            <w:r w:rsidR="006E436C" w:rsidRPr="001A3257">
              <w:rPr>
                <w:rFonts w:cs="Arial"/>
                <w:szCs w:val="20"/>
              </w:rPr>
              <w:t>: l’objectif est d’infléchir la tendance d’augmentation constaté</w:t>
            </w:r>
            <w:r w:rsidR="00D77AA5" w:rsidRPr="001A3257">
              <w:rPr>
                <w:rFonts w:cs="Arial"/>
                <w:szCs w:val="20"/>
              </w:rPr>
              <w:t>e</w:t>
            </w:r>
            <w:r w:rsidR="006E436C" w:rsidRPr="001A3257">
              <w:rPr>
                <w:rFonts w:cs="Arial"/>
                <w:szCs w:val="20"/>
              </w:rPr>
              <w:t xml:space="preserve"> </w:t>
            </w:r>
            <w:r w:rsidR="00AF06A1" w:rsidRPr="001A3257">
              <w:rPr>
                <w:rFonts w:cs="Arial"/>
                <w:szCs w:val="20"/>
              </w:rPr>
              <w:t xml:space="preserve">à </w:t>
            </w:r>
            <w:r w:rsidR="006E436C" w:rsidRPr="001A3257">
              <w:rPr>
                <w:rFonts w:cs="Arial"/>
                <w:szCs w:val="20"/>
              </w:rPr>
              <w:t>une r</w:t>
            </w:r>
            <w:r w:rsidRPr="001A3257">
              <w:rPr>
                <w:rFonts w:cs="Arial"/>
                <w:szCs w:val="20"/>
              </w:rPr>
              <w:t>éduction de déchets verts de -2</w:t>
            </w:r>
            <w:r w:rsidR="00DA1F67">
              <w:rPr>
                <w:rFonts w:cs="Arial"/>
                <w:szCs w:val="20"/>
              </w:rPr>
              <w:t>0% pour 2030 par rapport à 2016.</w:t>
            </w:r>
          </w:p>
        </w:tc>
      </w:tr>
    </w:tbl>
    <w:p w14:paraId="51E301CB" w14:textId="77777777" w:rsidR="0088672C" w:rsidRPr="00B12BEE" w:rsidRDefault="0088672C" w:rsidP="00927CD2">
      <w:pPr>
        <w:rPr>
          <w:rFonts w:cs="Arial"/>
          <w:szCs w:val="20"/>
        </w:rPr>
      </w:pPr>
      <w:r w:rsidRPr="00B12BEE">
        <w:rPr>
          <w:rFonts w:cs="Arial"/>
          <w:szCs w:val="20"/>
        </w:rPr>
        <w:t>Chaque territoire devra s’approprier cet objectif global et le décliner par :</w:t>
      </w:r>
    </w:p>
    <w:p w14:paraId="682A30C4" w14:textId="6EA9E28C" w:rsidR="00DA1F67" w:rsidRDefault="0088672C" w:rsidP="00DA1F67">
      <w:pPr>
        <w:pStyle w:val="Paragraphedeliste"/>
        <w:numPr>
          <w:ilvl w:val="0"/>
          <w:numId w:val="3"/>
        </w:numPr>
        <w:spacing w:after="120"/>
        <w:ind w:left="714" w:hanging="357"/>
        <w:contextualSpacing w:val="0"/>
        <w:rPr>
          <w:rFonts w:cs="Arial"/>
          <w:szCs w:val="20"/>
        </w:rPr>
      </w:pPr>
      <w:r w:rsidRPr="00DA1F67">
        <w:rPr>
          <w:rFonts w:cs="Arial"/>
          <w:szCs w:val="20"/>
        </w:rPr>
        <w:t>Des actions de lutte contre le gaspillage alimentaire</w:t>
      </w:r>
      <w:r w:rsidR="00DA1F67">
        <w:rPr>
          <w:rFonts w:cs="Arial"/>
          <w:szCs w:val="20"/>
        </w:rPr>
        <w:t> ;</w:t>
      </w:r>
    </w:p>
    <w:p w14:paraId="08516353" w14:textId="3BB97E71" w:rsidR="0088672C" w:rsidRPr="00DA1F67" w:rsidRDefault="004D13CC" w:rsidP="00DA1F67">
      <w:pPr>
        <w:pStyle w:val="Paragraphedeliste"/>
        <w:numPr>
          <w:ilvl w:val="0"/>
          <w:numId w:val="3"/>
        </w:numPr>
        <w:spacing w:after="120"/>
        <w:ind w:left="714" w:hanging="357"/>
        <w:contextualSpacing w:val="0"/>
        <w:rPr>
          <w:rFonts w:cs="Arial"/>
          <w:szCs w:val="20"/>
        </w:rPr>
      </w:pPr>
      <w:r w:rsidRPr="00DA1F67">
        <w:rPr>
          <w:rFonts w:cs="Arial"/>
          <w:szCs w:val="20"/>
        </w:rPr>
        <w:t>Des actions en vue d’une généralisation du tri à la source des bio</w:t>
      </w:r>
      <w:r w:rsidR="000D1454" w:rsidRPr="00DA1F67">
        <w:rPr>
          <w:rFonts w:cs="Arial"/>
          <w:szCs w:val="20"/>
        </w:rPr>
        <w:t>d</w:t>
      </w:r>
      <w:r w:rsidRPr="00DA1F67">
        <w:rPr>
          <w:rFonts w:cs="Arial"/>
          <w:szCs w:val="20"/>
        </w:rPr>
        <w:t>échets qui incluent :</w:t>
      </w:r>
    </w:p>
    <w:p w14:paraId="355C0C3E" w14:textId="1697ABAF" w:rsidR="0088672C" w:rsidRPr="00B12BEE" w:rsidRDefault="0088672C" w:rsidP="009B39A3">
      <w:pPr>
        <w:pStyle w:val="Paragraphedeliste"/>
        <w:numPr>
          <w:ilvl w:val="1"/>
          <w:numId w:val="3"/>
        </w:numPr>
        <w:rPr>
          <w:rFonts w:cs="Arial"/>
          <w:szCs w:val="20"/>
        </w:rPr>
      </w:pPr>
      <w:r w:rsidRPr="00B12BEE">
        <w:rPr>
          <w:rFonts w:cs="Arial"/>
          <w:szCs w:val="20"/>
        </w:rPr>
        <w:t>La gestion de proximité des biodéchets</w:t>
      </w:r>
      <w:r w:rsidR="004D13CC" w:rsidRPr="00B12BEE">
        <w:rPr>
          <w:rFonts w:cs="Arial"/>
          <w:szCs w:val="20"/>
        </w:rPr>
        <w:t> : compostage domestique, partagée en pied d’immeuble, de quartier, d’établissement autonome, …</w:t>
      </w:r>
    </w:p>
    <w:p w14:paraId="63911EBD" w14:textId="57565B49" w:rsidR="00A962D5" w:rsidRDefault="00F36650" w:rsidP="009B39A3">
      <w:pPr>
        <w:pStyle w:val="Paragraphedeliste"/>
        <w:numPr>
          <w:ilvl w:val="1"/>
          <w:numId w:val="3"/>
        </w:numPr>
        <w:rPr>
          <w:rFonts w:cs="Arial"/>
          <w:szCs w:val="20"/>
        </w:rPr>
      </w:pPr>
      <w:r w:rsidRPr="00B12BEE">
        <w:rPr>
          <w:rFonts w:cs="Arial"/>
          <w:szCs w:val="20"/>
        </w:rPr>
        <w:t>et</w:t>
      </w:r>
      <w:r w:rsidR="0088672C" w:rsidRPr="00B12BEE">
        <w:rPr>
          <w:rFonts w:cs="Arial"/>
          <w:szCs w:val="20"/>
        </w:rPr>
        <w:t>/ou la collecte séparée des biodéchets</w:t>
      </w:r>
      <w:r w:rsidR="00DA1F67">
        <w:rPr>
          <w:rFonts w:cs="Arial"/>
          <w:szCs w:val="20"/>
        </w:rPr>
        <w:t>.</w:t>
      </w:r>
    </w:p>
    <w:p w14:paraId="02822B98" w14:textId="69075628" w:rsidR="007F614B" w:rsidRDefault="00FE7F3A" w:rsidP="00FE7F3A">
      <w:pPr>
        <w:pStyle w:val="Titre1"/>
      </w:pPr>
      <w:r>
        <w:lastRenderedPageBreak/>
        <w:t>III.</w:t>
      </w:r>
      <w:r w:rsidR="00013017" w:rsidRPr="00013017">
        <w:t xml:space="preserve"> Obje</w:t>
      </w:r>
      <w:r w:rsidR="007F614B">
        <w:t>ctif de l’appel à projets</w:t>
      </w:r>
    </w:p>
    <w:p w14:paraId="2CBB001A" w14:textId="77777777" w:rsidR="00B65C75" w:rsidRDefault="00B65C75" w:rsidP="00883D9E"/>
    <w:p w14:paraId="468502F3" w14:textId="7275D00A" w:rsidR="00883D9E" w:rsidRDefault="0046078B" w:rsidP="00883D9E">
      <w:r>
        <w:t>L</w:t>
      </w:r>
      <w:r w:rsidR="00883D9E">
        <w:t>’objectif de cet appel à projets est de faire émerger</w:t>
      </w:r>
      <w:r w:rsidR="00567260">
        <w:t> :</w:t>
      </w:r>
    </w:p>
    <w:p w14:paraId="24932EFF" w14:textId="355635C1" w:rsidR="00883D9E" w:rsidRDefault="00883D9E" w:rsidP="008E05BE">
      <w:pPr>
        <w:pStyle w:val="Paragraphedeliste"/>
        <w:numPr>
          <w:ilvl w:val="0"/>
          <w:numId w:val="3"/>
        </w:numPr>
        <w:spacing w:before="80"/>
        <w:ind w:left="567" w:hanging="357"/>
        <w:contextualSpacing w:val="0"/>
      </w:pPr>
      <w:r>
        <w:t xml:space="preserve">Des opérations </w:t>
      </w:r>
      <w:r w:rsidRPr="00B65C75">
        <w:rPr>
          <w:b/>
          <w:u w:val="single"/>
        </w:rPr>
        <w:t>performantes</w:t>
      </w:r>
      <w:r>
        <w:t xml:space="preserve"> permettant </w:t>
      </w:r>
      <w:r w:rsidR="0046078B">
        <w:t>d’accélérer</w:t>
      </w:r>
      <w:r>
        <w:t xml:space="preserve"> l’atteinte des objectifs de la L</w:t>
      </w:r>
      <w:r w:rsidR="00A962D5">
        <w:t>oi AGEC</w:t>
      </w:r>
      <w:r>
        <w:t xml:space="preserve"> et du PRPGD que ce soit en terme de prévention et de valorisation des biodéchet</w:t>
      </w:r>
      <w:r w:rsidR="00A962D5">
        <w:t xml:space="preserve">s </w:t>
      </w:r>
      <w:r>
        <w:t xml:space="preserve">et pour </w:t>
      </w:r>
      <w:r w:rsidR="00B65C75">
        <w:t xml:space="preserve">faciliter </w:t>
      </w:r>
      <w:r>
        <w:t>la généralisation du tri à la source des biodéchets en 2023</w:t>
      </w:r>
      <w:r w:rsidR="00B65C75">
        <w:t xml:space="preserve"> pour les gros producteurs</w:t>
      </w:r>
      <w:r w:rsidR="00D373E8">
        <w:t>.</w:t>
      </w:r>
      <w:r>
        <w:t xml:space="preserve"> Ces opérations devront </w:t>
      </w:r>
      <w:r w:rsidRPr="00B330BB">
        <w:rPr>
          <w:b/>
        </w:rPr>
        <w:t>respecter la hiérarchisation de la prévention à la valorisation des biodéchets</w:t>
      </w:r>
      <w:r>
        <w:t>.</w:t>
      </w:r>
      <w:r w:rsidR="00827E57">
        <w:t xml:space="preserve"> </w:t>
      </w:r>
    </w:p>
    <w:p w14:paraId="791AE5E7" w14:textId="6B691CF0" w:rsidR="00883D9E" w:rsidRDefault="00883D9E" w:rsidP="008E05BE">
      <w:pPr>
        <w:pStyle w:val="Paragraphedeliste"/>
        <w:numPr>
          <w:ilvl w:val="0"/>
          <w:numId w:val="3"/>
        </w:numPr>
        <w:spacing w:before="80"/>
        <w:ind w:left="567" w:hanging="357"/>
        <w:contextualSpacing w:val="0"/>
      </w:pPr>
      <w:r>
        <w:t xml:space="preserve">Des opérations </w:t>
      </w:r>
      <w:r w:rsidR="00827E57" w:rsidRPr="00827E57">
        <w:rPr>
          <w:b/>
        </w:rPr>
        <w:t>mixant pour une même collectivité les différents modes de tri à la source des biodéchets</w:t>
      </w:r>
      <w:r w:rsidR="00827E57">
        <w:t xml:space="preserve"> en fonction des spécificités de chaque zone géographique (quartier, zone pavillonnaire, …)</w:t>
      </w:r>
      <w:r w:rsidR="00D373E8">
        <w:t>.</w:t>
      </w:r>
    </w:p>
    <w:p w14:paraId="2C06D579" w14:textId="4F2CF535" w:rsidR="00A8146A" w:rsidRDefault="00A8146A" w:rsidP="008E05BE">
      <w:pPr>
        <w:pStyle w:val="Paragraphedeliste"/>
        <w:numPr>
          <w:ilvl w:val="0"/>
          <w:numId w:val="3"/>
        </w:numPr>
        <w:spacing w:before="80"/>
        <w:ind w:left="567" w:hanging="357"/>
        <w:contextualSpacing w:val="0"/>
      </w:pPr>
      <w:r>
        <w:t xml:space="preserve">Des </w:t>
      </w:r>
      <w:r w:rsidRPr="00A8146A">
        <w:rPr>
          <w:b/>
        </w:rPr>
        <w:t>opérations à coût maîtrisé</w:t>
      </w:r>
      <w:r>
        <w:t xml:space="preserve"> intégrées au sein d’un service public de prévention et de gestion des déchets optimisés.</w:t>
      </w:r>
    </w:p>
    <w:p w14:paraId="0E889ED9" w14:textId="6BA3B066" w:rsidR="00827E57" w:rsidRDefault="0046078B" w:rsidP="008E05BE">
      <w:pPr>
        <w:pStyle w:val="Paragraphedeliste"/>
        <w:numPr>
          <w:ilvl w:val="0"/>
          <w:numId w:val="3"/>
        </w:numPr>
        <w:spacing w:before="80"/>
        <w:ind w:left="567" w:hanging="357"/>
        <w:contextualSpacing w:val="0"/>
      </w:pPr>
      <w:r>
        <w:t xml:space="preserve">Des opérations </w:t>
      </w:r>
      <w:r w:rsidRPr="00947C79">
        <w:rPr>
          <w:b/>
        </w:rPr>
        <w:t xml:space="preserve">globales intégrant les différents flux </w:t>
      </w:r>
      <w:r w:rsidR="00947C79">
        <w:rPr>
          <w:b/>
        </w:rPr>
        <w:t xml:space="preserve">et les </w:t>
      </w:r>
      <w:r w:rsidRPr="00947C79">
        <w:rPr>
          <w:b/>
        </w:rPr>
        <w:t xml:space="preserve">producteurs </w:t>
      </w:r>
      <w:r w:rsidR="00947C79">
        <w:rPr>
          <w:b/>
        </w:rPr>
        <w:t>-</w:t>
      </w:r>
      <w:r w:rsidRPr="00947C79">
        <w:rPr>
          <w:b/>
        </w:rPr>
        <w:t xml:space="preserve"> utilisateurs</w:t>
      </w:r>
      <w:r>
        <w:t xml:space="preserve"> </w:t>
      </w:r>
      <w:r w:rsidR="00947C79">
        <w:t xml:space="preserve">associés </w:t>
      </w:r>
      <w:r>
        <w:t>sur un même territoire afin de s’assurer du non conflit d’usage pour une même ressource en retour au sol ou énergétiq</w:t>
      </w:r>
      <w:r w:rsidR="00A8146A">
        <w:t>ue</w:t>
      </w:r>
      <w:r w:rsidR="00753EF5">
        <w:t>.</w:t>
      </w:r>
    </w:p>
    <w:p w14:paraId="515082E2" w14:textId="15EB2252" w:rsidR="00A8146A" w:rsidRDefault="00A8146A" w:rsidP="008E05BE">
      <w:pPr>
        <w:pStyle w:val="Paragraphedeliste"/>
        <w:numPr>
          <w:ilvl w:val="0"/>
          <w:numId w:val="3"/>
        </w:numPr>
        <w:spacing w:before="80"/>
        <w:ind w:left="567" w:hanging="357"/>
        <w:contextualSpacing w:val="0"/>
      </w:pPr>
      <w:r>
        <w:t xml:space="preserve">Des opérations </w:t>
      </w:r>
      <w:r w:rsidRPr="00A8146A">
        <w:rPr>
          <w:b/>
        </w:rPr>
        <w:t>mu</w:t>
      </w:r>
      <w:r w:rsidR="00A962D5">
        <w:rPr>
          <w:b/>
        </w:rPr>
        <w:t>lti</w:t>
      </w:r>
      <w:r w:rsidRPr="00A8146A">
        <w:rPr>
          <w:b/>
        </w:rPr>
        <w:t>-acteurs</w:t>
      </w:r>
      <w:r>
        <w:t xml:space="preserve"> </w:t>
      </w:r>
      <w:r w:rsidR="006C7116">
        <w:t xml:space="preserve">(concertation, gouvernance, partenariat, …) </w:t>
      </w:r>
      <w:r>
        <w:t>permettant de garantir la mise en place d’une économie circulaire autour de</w:t>
      </w:r>
      <w:r w:rsidR="006C7116">
        <w:t xml:space="preserve">s </w:t>
      </w:r>
      <w:r w:rsidR="00FF5A48">
        <w:t>biodéchets et des nutriments de</w:t>
      </w:r>
      <w:r>
        <w:t xml:space="preserve"> manière pérenne.</w:t>
      </w:r>
    </w:p>
    <w:p w14:paraId="5B38C87F" w14:textId="77777777" w:rsidR="00C432EB" w:rsidRDefault="00C432EB" w:rsidP="00A7237C">
      <w:pPr>
        <w:spacing w:before="0"/>
        <w:rPr>
          <w:i/>
        </w:rPr>
      </w:pPr>
    </w:p>
    <w:p w14:paraId="140D6EDD" w14:textId="132F1E95" w:rsidR="00A7237C" w:rsidRDefault="00A7237C" w:rsidP="00A7237C">
      <w:pPr>
        <w:spacing w:before="0"/>
      </w:pPr>
      <w:r>
        <w:t xml:space="preserve">En fonction de l’état d’avancement des différents modes de tri à la source des </w:t>
      </w:r>
      <w:r w:rsidR="003B4D15">
        <w:t>biodéchets</w:t>
      </w:r>
      <w:r>
        <w:t>, il peut être évoqué les objectifs suivants :</w:t>
      </w:r>
    </w:p>
    <w:p w14:paraId="11B4EFB5" w14:textId="77777777" w:rsidR="00B65C75" w:rsidRDefault="00B65C75" w:rsidP="00A7237C">
      <w:pPr>
        <w:spacing w:before="0"/>
      </w:pPr>
    </w:p>
    <w:p w14:paraId="2D2DA106" w14:textId="256CC47C" w:rsidR="009B1AF3" w:rsidRPr="00887666" w:rsidRDefault="009B1AF3" w:rsidP="00947C79">
      <w:pPr>
        <w:pStyle w:val="Paragraphedeliste"/>
        <w:numPr>
          <w:ilvl w:val="0"/>
          <w:numId w:val="3"/>
        </w:numPr>
        <w:spacing w:before="80"/>
        <w:ind w:left="426" w:hanging="216"/>
        <w:contextualSpacing w:val="0"/>
        <w:jc w:val="left"/>
        <w:rPr>
          <w:b/>
        </w:rPr>
      </w:pPr>
      <w:r w:rsidRPr="00887666">
        <w:rPr>
          <w:b/>
        </w:rPr>
        <w:t>Pour la gestion de proximité</w:t>
      </w:r>
      <w:r w:rsidR="003B4D15" w:rsidRPr="00887666">
        <w:rPr>
          <w:b/>
        </w:rPr>
        <w:t xml:space="preserve"> des biodéchets</w:t>
      </w:r>
      <w:r w:rsidRPr="00887666">
        <w:rPr>
          <w:b/>
        </w:rPr>
        <w:t xml:space="preserve"> : </w:t>
      </w:r>
      <w:r w:rsidR="00947C79">
        <w:rPr>
          <w:b/>
        </w:rPr>
        <w:t>mesurer,</w:t>
      </w:r>
      <w:r w:rsidR="00947C79" w:rsidRPr="00887666">
        <w:rPr>
          <w:b/>
        </w:rPr>
        <w:t xml:space="preserve"> </w:t>
      </w:r>
      <w:r w:rsidRPr="00887666">
        <w:rPr>
          <w:b/>
        </w:rPr>
        <w:t xml:space="preserve">renforcer, amplifier le </w:t>
      </w:r>
      <w:r w:rsidR="00947C79" w:rsidRPr="00887666">
        <w:rPr>
          <w:b/>
        </w:rPr>
        <w:t>déploiement,</w:t>
      </w:r>
      <w:r w:rsidR="00947C79">
        <w:rPr>
          <w:b/>
        </w:rPr>
        <w:t xml:space="preserve"> </w:t>
      </w:r>
    </w:p>
    <w:p w14:paraId="7313226C" w14:textId="7EF66127" w:rsidR="009B1AF3" w:rsidRPr="00887666" w:rsidRDefault="009B1AF3" w:rsidP="00947C79">
      <w:pPr>
        <w:pStyle w:val="Paragraphedeliste"/>
        <w:numPr>
          <w:ilvl w:val="0"/>
          <w:numId w:val="3"/>
        </w:numPr>
        <w:spacing w:before="80"/>
        <w:ind w:left="426" w:hanging="216"/>
        <w:contextualSpacing w:val="0"/>
        <w:rPr>
          <w:b/>
        </w:rPr>
      </w:pPr>
      <w:r w:rsidRPr="00887666">
        <w:rPr>
          <w:b/>
        </w:rPr>
        <w:t>Pour la collecte sépar</w:t>
      </w:r>
      <w:r w:rsidR="00947C79">
        <w:rPr>
          <w:b/>
        </w:rPr>
        <w:t>ée : expérimenter, capitaliser,</w:t>
      </w:r>
      <w:r w:rsidR="00947C79" w:rsidRPr="00887666">
        <w:rPr>
          <w:b/>
        </w:rPr>
        <w:t xml:space="preserve"> développer</w:t>
      </w:r>
      <w:r w:rsidRPr="00887666">
        <w:rPr>
          <w:b/>
        </w:rPr>
        <w:t xml:space="preserve"> la collecte séparée de biodéchets</w:t>
      </w:r>
    </w:p>
    <w:p w14:paraId="35C7184B" w14:textId="77777777" w:rsidR="00C432EB" w:rsidRDefault="00C432EB" w:rsidP="008E05BE">
      <w:pPr>
        <w:jc w:val="center"/>
        <w:rPr>
          <w:i/>
        </w:rPr>
      </w:pPr>
    </w:p>
    <w:p w14:paraId="11EE1AE7" w14:textId="4234B939" w:rsidR="008E05BE" w:rsidRDefault="008E05BE" w:rsidP="00B65C75">
      <w:pPr>
        <w:jc w:val="center"/>
        <w:rPr>
          <w:i/>
        </w:rPr>
      </w:pPr>
      <w:r w:rsidRPr="00FE44EE">
        <w:rPr>
          <w:i/>
        </w:rPr>
        <w:t xml:space="preserve">Afin d’assurer une réussite globale de la généralisation du tri à la source des biodéchets, </w:t>
      </w:r>
      <w:r w:rsidR="00FE44EE">
        <w:rPr>
          <w:i/>
        </w:rPr>
        <w:t>gestion de proximité de</w:t>
      </w:r>
      <w:r w:rsidR="00947C79">
        <w:rPr>
          <w:i/>
        </w:rPr>
        <w:t>s biodéchets, collecte séparée</w:t>
      </w:r>
      <w:r w:rsidR="00FE44EE">
        <w:rPr>
          <w:i/>
        </w:rPr>
        <w:t xml:space="preserve"> </w:t>
      </w:r>
      <w:r w:rsidR="009B1AF3" w:rsidRPr="00FE44EE">
        <w:rPr>
          <w:i/>
        </w:rPr>
        <w:t>doivent être menées de manière complémentaire</w:t>
      </w:r>
      <w:r w:rsidRPr="00FE44EE">
        <w:rPr>
          <w:i/>
        </w:rPr>
        <w:t>s</w:t>
      </w:r>
      <w:r w:rsidR="009B1AF3" w:rsidRPr="00FE44EE">
        <w:rPr>
          <w:i/>
        </w:rPr>
        <w:t xml:space="preserve"> les uns aux autres</w:t>
      </w:r>
      <w:r w:rsidRPr="00FE44EE">
        <w:rPr>
          <w:i/>
        </w:rPr>
        <w:t xml:space="preserve"> sur le territoire.</w:t>
      </w:r>
    </w:p>
    <w:p w14:paraId="007FE508" w14:textId="2C1E4BD2" w:rsidR="00C432EB" w:rsidRDefault="00C432EB" w:rsidP="008E05BE">
      <w:pPr>
        <w:jc w:val="center"/>
        <w:rPr>
          <w:i/>
        </w:rPr>
      </w:pPr>
    </w:p>
    <w:p w14:paraId="214F82BE" w14:textId="77777777" w:rsidR="00753FC4" w:rsidRPr="00FE44EE" w:rsidRDefault="00753FC4" w:rsidP="008E05BE">
      <w:pPr>
        <w:jc w:val="center"/>
        <w:rPr>
          <w:i/>
        </w:rPr>
      </w:pPr>
    </w:p>
    <w:p w14:paraId="1D201E1A" w14:textId="25D28C57" w:rsidR="00952AC9" w:rsidRPr="00013017" w:rsidRDefault="00952AC9" w:rsidP="00FE7F3A">
      <w:pPr>
        <w:pStyle w:val="Titre1"/>
      </w:pPr>
      <w:r>
        <w:t>I</w:t>
      </w:r>
      <w:r w:rsidR="00FE7F3A">
        <w:t>V</w:t>
      </w:r>
      <w:r w:rsidR="00753EF5">
        <w:t>.</w:t>
      </w:r>
      <w:r>
        <w:t xml:space="preserve"> B</w:t>
      </w:r>
      <w:r w:rsidRPr="00013017">
        <w:t>énéficiaires de l’appel à projets</w:t>
      </w:r>
    </w:p>
    <w:p w14:paraId="5E94E4DA" w14:textId="2F3FB3D0" w:rsidR="00952AC9" w:rsidRDefault="00093500" w:rsidP="009D2989">
      <w:pPr>
        <w:pStyle w:val="Paragraphedeliste"/>
        <w:spacing w:before="240"/>
        <w:ind w:left="0"/>
      </w:pPr>
      <w:r>
        <w:t>Sont concernés</w:t>
      </w:r>
      <w:r w:rsidR="00C0262B">
        <w:t xml:space="preserve"> </w:t>
      </w:r>
      <w:r w:rsidR="00952AC9">
        <w:t xml:space="preserve">les </w:t>
      </w:r>
      <w:r w:rsidR="005F43DC">
        <w:rPr>
          <w:b/>
        </w:rPr>
        <w:t>EPCI</w:t>
      </w:r>
      <w:r w:rsidR="002F16ED">
        <w:t xml:space="preserve"> compétents</w:t>
      </w:r>
      <w:r w:rsidR="006872FA">
        <w:t xml:space="preserve"> en matière de gestion des déchets souhaitant définir une stratégie de généralisat</w:t>
      </w:r>
      <w:r w:rsidR="00753EF5">
        <w:t>ion du tri à la source des biodé</w:t>
      </w:r>
      <w:r w:rsidR="006872FA">
        <w:t>chets de</w:t>
      </w:r>
      <w:r w:rsidR="002F16ED">
        <w:t xml:space="preserve"> la prévention au retour au sol dans le cadre leur Service Public Prévention et Gestion des Déchets.</w:t>
      </w:r>
    </w:p>
    <w:p w14:paraId="6B72D0C1" w14:textId="77777777" w:rsidR="00C0262B" w:rsidRDefault="00C0262B" w:rsidP="009D2989">
      <w:pPr>
        <w:pStyle w:val="Paragraphedeliste"/>
        <w:spacing w:before="240"/>
        <w:ind w:left="0"/>
      </w:pPr>
    </w:p>
    <w:p w14:paraId="13A9C152" w14:textId="0E584EA3" w:rsidR="00C0262B" w:rsidRDefault="00C0262B" w:rsidP="009D2989">
      <w:pPr>
        <w:pStyle w:val="Paragraphedeliste"/>
        <w:spacing w:before="240"/>
        <w:ind w:left="0"/>
      </w:pPr>
      <w:r>
        <w:t xml:space="preserve">Ces </w:t>
      </w:r>
      <w:r w:rsidR="00093500">
        <w:t xml:space="preserve">bénéficiaires pourront être un </w:t>
      </w:r>
      <w:r>
        <w:t xml:space="preserve">EPCI à </w:t>
      </w:r>
      <w:r w:rsidRPr="00022A1D">
        <w:t>compétence collecte</w:t>
      </w:r>
      <w:r w:rsidR="00296A0C" w:rsidRPr="00022A1D">
        <w:t xml:space="preserve"> ou traitement</w:t>
      </w:r>
      <w:r w:rsidR="00B65C75" w:rsidRPr="00022A1D">
        <w:t>. I</w:t>
      </w:r>
      <w:r w:rsidR="0083288F" w:rsidRPr="00022A1D">
        <w:t xml:space="preserve">l devra apporter tous les éléments sur les solutions d’utilisation de compost et/ou les solutions de traitement utilisées.  </w:t>
      </w:r>
    </w:p>
    <w:p w14:paraId="5A8CCDCF" w14:textId="286BDE66" w:rsidR="00C0262B" w:rsidRDefault="00C0262B" w:rsidP="009D2989">
      <w:pPr>
        <w:pStyle w:val="Paragraphedeliste"/>
        <w:spacing w:before="240"/>
        <w:ind w:left="0"/>
      </w:pPr>
    </w:p>
    <w:p w14:paraId="12DEECBA" w14:textId="77777777" w:rsidR="00022A1D" w:rsidRDefault="009D2989" w:rsidP="00F25A5C">
      <w:pPr>
        <w:pStyle w:val="Paragraphedeliste"/>
        <w:spacing w:before="240"/>
        <w:ind w:left="0"/>
      </w:pPr>
      <w:r>
        <w:t>Les producteurs hors ménages ne sont pas éligibles à cet appel à projets.</w:t>
      </w:r>
      <w:r w:rsidR="00022A1D">
        <w:t xml:space="preserve"> Néanmoins des actions peuvent être soutenus dans le cadre d’opérations particulières unité de traitement, collecte à mobilité douce… </w:t>
      </w:r>
    </w:p>
    <w:p w14:paraId="1FCE794E" w14:textId="47EDC2C9" w:rsidR="00F25A5C" w:rsidRDefault="00022A1D" w:rsidP="00F25A5C">
      <w:pPr>
        <w:pStyle w:val="Paragraphedeliste"/>
        <w:spacing w:before="240"/>
        <w:ind w:left="0"/>
      </w:pPr>
      <w:r>
        <w:t>T</w:t>
      </w:r>
      <w:r w:rsidR="00827C41">
        <w:t xml:space="preserve">ous </w:t>
      </w:r>
      <w:r>
        <w:t>l</w:t>
      </w:r>
      <w:r w:rsidR="00827C41">
        <w:t>e</w:t>
      </w:r>
      <w:r>
        <w:t>s éléments sont disponibles sur la plateforme</w:t>
      </w:r>
      <w:r w:rsidR="000700E0">
        <w:t> :</w:t>
      </w:r>
      <w:r>
        <w:t xml:space="preserve"> </w:t>
      </w:r>
      <w:hyperlink r:id="rId15" w:history="1">
        <w:r w:rsidR="00827C41" w:rsidRPr="004F4C5B">
          <w:rPr>
            <w:rStyle w:val="Lienhypertexte"/>
          </w:rPr>
          <w:t>https://agirpourlatransition.ademe.fr/</w:t>
        </w:r>
      </w:hyperlink>
    </w:p>
    <w:p w14:paraId="39D463D9" w14:textId="77777777" w:rsidR="00827C41" w:rsidRDefault="00827C41" w:rsidP="00F25A5C">
      <w:pPr>
        <w:pStyle w:val="Paragraphedeliste"/>
        <w:spacing w:before="240"/>
        <w:ind w:left="0"/>
      </w:pPr>
    </w:p>
    <w:p w14:paraId="24AAA0EE" w14:textId="4217A2D4" w:rsidR="00F25A5C" w:rsidRDefault="0083288F" w:rsidP="00F25A5C">
      <w:pPr>
        <w:pStyle w:val="Paragraphedeliste"/>
        <w:spacing w:before="240"/>
        <w:ind w:left="0"/>
      </w:pPr>
      <w:r>
        <w:t xml:space="preserve">Néanmoins la collectivité peut </w:t>
      </w:r>
      <w:r w:rsidR="00F25A5C">
        <w:t>assurer un rôle d’animateur, fédérateur, coordinateur territorial pour mobiliser les différentes parties prenantes autour des biodéchets : des producteurs (usagers, professionnels, …) aux utilisateurs (jardiniers, monde agricole, …).</w:t>
      </w:r>
    </w:p>
    <w:p w14:paraId="142C3282" w14:textId="27D154B0" w:rsidR="009D2989" w:rsidRDefault="009D2989" w:rsidP="009D2989">
      <w:pPr>
        <w:pStyle w:val="Paragraphedeliste"/>
        <w:spacing w:before="240"/>
        <w:ind w:left="0"/>
      </w:pPr>
    </w:p>
    <w:p w14:paraId="2EB936C9" w14:textId="50D29B4F" w:rsidR="00F5062B" w:rsidRDefault="009D2989" w:rsidP="00F5062B">
      <w:pPr>
        <w:pStyle w:val="Paragraphedeliste"/>
        <w:spacing w:before="240"/>
        <w:ind w:left="0"/>
      </w:pPr>
      <w:r w:rsidRPr="002F16ED">
        <w:t xml:space="preserve">Dans le cas où des </w:t>
      </w:r>
      <w:r>
        <w:t>producteurs (hors ménages)</w:t>
      </w:r>
      <w:r w:rsidRPr="002F16ED">
        <w:t xml:space="preserve"> souhaitent travailler sur le tri à la source des biodéchets, il est</w:t>
      </w:r>
      <w:r w:rsidR="00F5062B">
        <w:t xml:space="preserve"> </w:t>
      </w:r>
      <w:r w:rsidR="00F5062B" w:rsidRPr="002F16ED">
        <w:t>recommandé</w:t>
      </w:r>
      <w:r w:rsidR="00F5062B" w:rsidRPr="00B24B27">
        <w:t xml:space="preserve"> de se rapprocher de l’EPCI compétente en</w:t>
      </w:r>
      <w:r w:rsidR="00F5062B">
        <w:t xml:space="preserve"> matière de gestion des déchets pour assurer une cohérence d’actions et </w:t>
      </w:r>
      <w:r w:rsidR="000D1454">
        <w:t xml:space="preserve">identifier les </w:t>
      </w:r>
      <w:r w:rsidR="00F5062B">
        <w:t xml:space="preserve">synergies </w:t>
      </w:r>
      <w:r w:rsidR="00496049">
        <w:t>éventuelles</w:t>
      </w:r>
      <w:r w:rsidR="00F5062B">
        <w:t xml:space="preserve">. </w:t>
      </w:r>
    </w:p>
    <w:p w14:paraId="6DDD8789" w14:textId="7A81E64F" w:rsidR="00C432EB" w:rsidRDefault="00C432EB" w:rsidP="00C432EB">
      <w:pPr>
        <w:spacing w:before="40"/>
      </w:pPr>
    </w:p>
    <w:p w14:paraId="5AA8C0EC" w14:textId="1B23337F" w:rsidR="00EB7ACB" w:rsidRDefault="00EB7ACB" w:rsidP="00F5062B">
      <w:pPr>
        <w:autoSpaceDE w:val="0"/>
        <w:autoSpaceDN w:val="0"/>
        <w:adjustRightInd w:val="0"/>
        <w:spacing w:before="0"/>
      </w:pPr>
    </w:p>
    <w:p w14:paraId="0EA0932C" w14:textId="0931ACA7" w:rsidR="002F7614" w:rsidRDefault="002F7614">
      <w:pPr>
        <w:spacing w:before="0" w:after="200" w:line="276" w:lineRule="auto"/>
        <w:jc w:val="left"/>
      </w:pPr>
      <w:r>
        <w:br w:type="page"/>
      </w:r>
    </w:p>
    <w:p w14:paraId="6BF92B39" w14:textId="305B576D" w:rsidR="00612969" w:rsidRDefault="00FE7F3A" w:rsidP="00FE7F3A">
      <w:pPr>
        <w:pStyle w:val="Titre1"/>
      </w:pPr>
      <w:r>
        <w:lastRenderedPageBreak/>
        <w:t>V</w:t>
      </w:r>
      <w:r w:rsidR="00753EF5">
        <w:t>.</w:t>
      </w:r>
      <w:r w:rsidR="00612969" w:rsidRPr="008B4708">
        <w:t xml:space="preserve"> Opérations éligibles</w:t>
      </w:r>
    </w:p>
    <w:p w14:paraId="02260F13" w14:textId="77777777" w:rsidR="005B3D0B" w:rsidRPr="00B73531" w:rsidRDefault="005B3D0B" w:rsidP="005B3D0B">
      <w:pPr>
        <w:rPr>
          <w:b/>
          <w:i/>
        </w:rPr>
      </w:pPr>
      <w:r w:rsidRPr="00B73531">
        <w:rPr>
          <w:b/>
          <w:i/>
        </w:rPr>
        <w:t xml:space="preserve">Hors champs de l’appel à projets, mais </w:t>
      </w:r>
      <w:r w:rsidRPr="00B73531">
        <w:rPr>
          <w:b/>
          <w:i/>
          <w:sz w:val="22"/>
        </w:rPr>
        <w:t>essentiel</w:t>
      </w:r>
      <w:r w:rsidRPr="00B73531">
        <w:rPr>
          <w:b/>
          <w:i/>
        </w:rPr>
        <w:t xml:space="preserve"> :</w:t>
      </w:r>
    </w:p>
    <w:p w14:paraId="091CF74A" w14:textId="60AF1052" w:rsidR="005B3D0B" w:rsidRPr="00B73531" w:rsidRDefault="005B3D0B" w:rsidP="001B2EB4">
      <w:pPr>
        <w:pStyle w:val="Paragraphedeliste"/>
        <w:numPr>
          <w:ilvl w:val="0"/>
          <w:numId w:val="10"/>
        </w:numPr>
        <w:spacing w:before="0"/>
        <w:ind w:left="714" w:hanging="357"/>
        <w:contextualSpacing w:val="0"/>
      </w:pPr>
      <w:r w:rsidRPr="00B73531">
        <w:rPr>
          <w:b/>
        </w:rPr>
        <w:t>Les opérations de lutte contre le gaspillage alimentaire</w:t>
      </w:r>
      <w:r w:rsidRPr="00B73531">
        <w:t xml:space="preserve"> : la lutte contre le gaspillage alimentaire est à systématiser et doit être pris en compte dans la définition de la mise en œuvre de la généralisation du </w:t>
      </w:r>
      <w:r w:rsidR="00584DD9" w:rsidRPr="00B73531">
        <w:t>tri à la source des biodéchets.</w:t>
      </w:r>
      <w:r w:rsidRPr="00B73531">
        <w:t xml:space="preserve"> La considération de la lutte contre le gaspillage alimentaire constituera un prérequis aux opérations de tri à la source des biodéchets. Certaines de ces opérations peuvent être aidées par ailleurs en dehors de cet appel à projets.</w:t>
      </w:r>
    </w:p>
    <w:p w14:paraId="252F8A55" w14:textId="4E0E6D65" w:rsidR="00250615" w:rsidRPr="00B73531" w:rsidRDefault="00250615" w:rsidP="00584DD9">
      <w:pPr>
        <w:pStyle w:val="Paragraphedeliste"/>
        <w:spacing w:before="0"/>
        <w:ind w:left="714"/>
        <w:contextualSpacing w:val="0"/>
      </w:pPr>
      <w:r w:rsidRPr="00B73531">
        <w:t>L</w:t>
      </w:r>
      <w:r w:rsidR="00584DD9" w:rsidRPr="00B73531">
        <w:t>e site O</w:t>
      </w:r>
      <w:r w:rsidRPr="00B73531">
        <w:t>ptigede capitalise les retours d’expériences, des outils, des méthodologies mis à disposition des collectivités et entreprises</w:t>
      </w:r>
      <w:r w:rsidR="00584DD9" w:rsidRPr="00B73531">
        <w:t xml:space="preserve"> : </w:t>
      </w:r>
      <w:hyperlink r:id="rId16" w:history="1">
        <w:r w:rsidRPr="00B73531">
          <w:rPr>
            <w:rStyle w:val="Lienhypertexte"/>
          </w:rPr>
          <w:t>https://www.optigede.ademe.fr/alimentation-durable-en-savoir-plus</w:t>
        </w:r>
      </w:hyperlink>
    </w:p>
    <w:p w14:paraId="78432FD4" w14:textId="77777777" w:rsidR="00250615" w:rsidRPr="00B73531" w:rsidRDefault="00250615" w:rsidP="00716C9B">
      <w:pPr>
        <w:pStyle w:val="Paragraphedeliste"/>
        <w:spacing w:before="0"/>
        <w:ind w:left="714"/>
        <w:contextualSpacing w:val="0"/>
      </w:pPr>
    </w:p>
    <w:p w14:paraId="37478BE1" w14:textId="27E1F89B" w:rsidR="005B3D0B" w:rsidRPr="00B73531" w:rsidRDefault="005B3D0B" w:rsidP="005B3D0B">
      <w:pPr>
        <w:pStyle w:val="Paragraphedeliste"/>
        <w:numPr>
          <w:ilvl w:val="0"/>
          <w:numId w:val="10"/>
        </w:numPr>
        <w:ind w:left="714" w:hanging="357"/>
        <w:contextualSpacing w:val="0"/>
      </w:pPr>
      <w:r w:rsidRPr="00B73531">
        <w:rPr>
          <w:b/>
        </w:rPr>
        <w:t>Les unités de méthanisation</w:t>
      </w:r>
      <w:r w:rsidR="00DC1F97" w:rsidRPr="00DC1F97">
        <w:rPr>
          <w:b/>
        </w:rPr>
        <w:t xml:space="preserve"> </w:t>
      </w:r>
      <w:r w:rsidRPr="00B73531">
        <w:rPr>
          <w:b/>
        </w:rPr>
        <w:t>:</w:t>
      </w:r>
      <w:r w:rsidRPr="00B73531">
        <w:t xml:space="preserve"> La collecte séparée des biodéchets n’est qu’un des maillons à leur valorisation. Il est indispensable que ce maillon avec l’unité de valorisation organique adéquate s’intègre dans la mise en place d’une filière de production d’amendement organique satisfaisant les utilisateurs (agriculteurs, espaces verts, …) ou de production d’énergie dans le cas d’une méthanisation.</w:t>
      </w:r>
      <w:r w:rsidR="00340F7C" w:rsidRPr="00B73531">
        <w:t xml:space="preserve"> Sous réserve d’une pertinence territoriale </w:t>
      </w:r>
      <w:r w:rsidR="009A1D88" w:rsidRPr="00B73531">
        <w:t>et de disposer d’un agrément sanitaire permettant le traitement de déchets alimentaires, l</w:t>
      </w:r>
      <w:r w:rsidR="00340F7C" w:rsidRPr="00B73531">
        <w:t xml:space="preserve">a création d’unités de </w:t>
      </w:r>
      <w:r w:rsidR="00A057B8">
        <w:t>méthanisation et de déconditionnement qui y serait rattachée,</w:t>
      </w:r>
      <w:r w:rsidR="00340F7C" w:rsidRPr="00B73531">
        <w:t xml:space="preserve"> peut également faire l’objet d’un soutien financier de l’ADEME</w:t>
      </w:r>
      <w:r w:rsidR="00A057B8">
        <w:t>, en dehors du présent appel à projets</w:t>
      </w:r>
      <w:r w:rsidR="00340F7C" w:rsidRPr="00B73531">
        <w:t>.</w:t>
      </w:r>
    </w:p>
    <w:p w14:paraId="34F2207B" w14:textId="77777777" w:rsidR="00716C9B" w:rsidRPr="00B73531" w:rsidRDefault="00716C9B" w:rsidP="00716C9B">
      <w:pPr>
        <w:pStyle w:val="Paragraphedeliste"/>
        <w:ind w:left="714"/>
        <w:contextualSpacing w:val="0"/>
      </w:pPr>
    </w:p>
    <w:p w14:paraId="5B491D8D" w14:textId="382F0051" w:rsidR="00716C9B" w:rsidRPr="00B73531" w:rsidRDefault="00716C9B" w:rsidP="002E0DF7">
      <w:pPr>
        <w:pStyle w:val="Paragraphedeliste"/>
        <w:numPr>
          <w:ilvl w:val="0"/>
          <w:numId w:val="10"/>
        </w:numPr>
        <w:spacing w:before="0"/>
        <w:contextualSpacing w:val="0"/>
        <w:rPr>
          <w:rFonts w:ascii="Calibri" w:hAnsi="Calibri"/>
        </w:rPr>
      </w:pPr>
      <w:r w:rsidRPr="00B73531">
        <w:t>Dans le cadre de la mise en œuvre du PRPGD, la Région Bretagne coordonne les actions en faveur de la réduction à la source des végétaux et, à ce titre développera des actions et outils mutualisés de communication vers les bretons.</w:t>
      </w:r>
    </w:p>
    <w:p w14:paraId="6CAEE47E" w14:textId="77777777" w:rsidR="00E3791B" w:rsidRPr="00B73531" w:rsidRDefault="00E3791B" w:rsidP="00E3791B">
      <w:pPr>
        <w:pStyle w:val="Paragraphedeliste"/>
        <w:rPr>
          <w:rFonts w:ascii="Calibri" w:hAnsi="Calibri"/>
        </w:rPr>
      </w:pPr>
    </w:p>
    <w:p w14:paraId="7E2BED87" w14:textId="77777777" w:rsidR="00E3791B" w:rsidRPr="00B73531" w:rsidRDefault="00E3791B" w:rsidP="00E3791B">
      <w:pPr>
        <w:pStyle w:val="Paragraphedeliste"/>
        <w:spacing w:before="0"/>
        <w:contextualSpacing w:val="0"/>
        <w:jc w:val="left"/>
        <w:rPr>
          <w:rFonts w:ascii="Calibri" w:hAnsi="Calibri"/>
        </w:rPr>
      </w:pPr>
    </w:p>
    <w:p w14:paraId="1EFF966C" w14:textId="77777777" w:rsidR="00716C9B" w:rsidRPr="00B73531" w:rsidRDefault="00716C9B" w:rsidP="00716C9B">
      <w:pPr>
        <w:pStyle w:val="Paragraphedeliste"/>
        <w:numPr>
          <w:ilvl w:val="0"/>
          <w:numId w:val="10"/>
        </w:numPr>
        <w:spacing w:before="0"/>
        <w:contextualSpacing w:val="0"/>
        <w:jc w:val="left"/>
      </w:pPr>
      <w:r w:rsidRPr="00B73531">
        <w:t xml:space="preserve">La Région Bretagne apporte des soutiens financiers pour l’acquisition de broyeurs de végétaux dans le cadre de développement des alternatives aux phytosanitaires : </w:t>
      </w:r>
      <w:hyperlink r:id="rId17" w:history="1">
        <w:r w:rsidRPr="00B73531">
          <w:rPr>
            <w:rStyle w:val="Lienhypertexte"/>
          </w:rPr>
          <w:t>https://www.bretagne.bzh/aides/fiches/eau-materiel-desherbage-alternatif-chimique/</w:t>
        </w:r>
      </w:hyperlink>
    </w:p>
    <w:p w14:paraId="7E37CC71" w14:textId="1884B9E6" w:rsidR="00B639C7" w:rsidRPr="00B73531" w:rsidRDefault="00B639C7" w:rsidP="00D54372">
      <w:pPr>
        <w:pStyle w:val="Paragraphedeliste"/>
        <w:ind w:left="714"/>
        <w:contextualSpacing w:val="0"/>
        <w:rPr>
          <w:i/>
        </w:rPr>
      </w:pPr>
    </w:p>
    <w:p w14:paraId="36DC61FB" w14:textId="77777777" w:rsidR="00466737" w:rsidRPr="00B73531" w:rsidRDefault="00466737" w:rsidP="00D54372">
      <w:pPr>
        <w:pStyle w:val="Paragraphedeliste"/>
        <w:ind w:left="714"/>
        <w:contextualSpacing w:val="0"/>
        <w:rPr>
          <w:i/>
        </w:rPr>
      </w:pPr>
    </w:p>
    <w:p w14:paraId="23F9034B" w14:textId="78DA1B5E" w:rsidR="00473602" w:rsidRPr="00B73531" w:rsidRDefault="00473602" w:rsidP="00787305">
      <w:pPr>
        <w:spacing w:after="120"/>
      </w:pPr>
      <w:r w:rsidRPr="00B73531">
        <w:rPr>
          <w:b/>
        </w:rPr>
        <w:t>Seront éligibles</w:t>
      </w:r>
      <w:r w:rsidRPr="00B73531">
        <w:t xml:space="preserve"> à cet appel à projets</w:t>
      </w:r>
      <w:r w:rsidR="0036382D" w:rsidRPr="00B73531">
        <w:t xml:space="preserve"> les dépenses relatives aux opérations de tri à la source des biodéchets des </w:t>
      </w:r>
      <w:r w:rsidR="004C12F9" w:rsidRPr="00B73531">
        <w:t>étude</w:t>
      </w:r>
      <w:r w:rsidR="00DD756D" w:rsidRPr="00B73531">
        <w:t>s</w:t>
      </w:r>
      <w:r w:rsidR="002E56CC" w:rsidRPr="00B73531">
        <w:t xml:space="preserve">, </w:t>
      </w:r>
      <w:r w:rsidR="0036382D" w:rsidRPr="00B73531">
        <w:t xml:space="preserve">aux </w:t>
      </w:r>
      <w:r w:rsidR="002E56CC" w:rsidRPr="00B73531">
        <w:t>é</w:t>
      </w:r>
      <w:r w:rsidR="00787305" w:rsidRPr="00B73531">
        <w:t xml:space="preserve">quipements, </w:t>
      </w:r>
      <w:r w:rsidR="0036382D" w:rsidRPr="00B73531">
        <w:t xml:space="preserve">à la communication et les </w:t>
      </w:r>
      <w:r w:rsidR="005B3D0B" w:rsidRPr="00B73531">
        <w:t>formations :</w:t>
      </w:r>
    </w:p>
    <w:p w14:paraId="6258E0B4" w14:textId="77777777" w:rsidR="00466737" w:rsidRPr="00B73531" w:rsidRDefault="00466737" w:rsidP="00787305">
      <w:pPr>
        <w:spacing w:after="120"/>
      </w:pPr>
    </w:p>
    <w:p w14:paraId="257039BB" w14:textId="77777777" w:rsidR="002E0DF7" w:rsidRPr="00B73531" w:rsidRDefault="002E0DF7" w:rsidP="00044280">
      <w:pPr>
        <w:pStyle w:val="Default"/>
        <w:spacing w:before="120"/>
        <w:ind w:left="357"/>
        <w:jc w:val="center"/>
        <w:rPr>
          <w:rFonts w:ascii="Arial" w:hAnsi="Arial" w:cs="Arial"/>
          <w:b/>
          <w:i/>
          <w:sz w:val="20"/>
        </w:rPr>
      </w:pPr>
      <w:r w:rsidRPr="00B73531">
        <w:rPr>
          <w:b/>
          <w:i/>
        </w:rPr>
        <w:t xml:space="preserve">Pour assurer la </w:t>
      </w:r>
      <w:r w:rsidRPr="00B73531">
        <w:rPr>
          <w:rFonts w:ascii="Arial" w:hAnsi="Arial" w:cs="Arial"/>
          <w:b/>
          <w:i/>
          <w:sz w:val="20"/>
        </w:rPr>
        <w:t>complémentarité sur le territoire,</w:t>
      </w:r>
    </w:p>
    <w:p w14:paraId="5D638B55" w14:textId="77777777" w:rsidR="002E0DF7" w:rsidRPr="00B73531" w:rsidRDefault="002E0DF7" w:rsidP="00044280">
      <w:pPr>
        <w:pStyle w:val="Default"/>
        <w:ind w:left="360"/>
        <w:jc w:val="center"/>
        <w:rPr>
          <w:rFonts w:ascii="Arial" w:hAnsi="Arial" w:cs="Arial"/>
          <w:b/>
          <w:i/>
          <w:sz w:val="20"/>
        </w:rPr>
      </w:pPr>
      <w:r w:rsidRPr="00B73531">
        <w:rPr>
          <w:rFonts w:ascii="Arial" w:hAnsi="Arial" w:cs="Arial"/>
          <w:b/>
          <w:i/>
          <w:sz w:val="20"/>
        </w:rPr>
        <w:t xml:space="preserve"> il est possible d’opter pour un ou plusieurs des volets ci-dessous </w:t>
      </w:r>
    </w:p>
    <w:p w14:paraId="4EE511E5" w14:textId="0BF72DCA" w:rsidR="002E0DF7" w:rsidRPr="00B73531" w:rsidRDefault="002E0DF7" w:rsidP="002E0DF7">
      <w:pPr>
        <w:pStyle w:val="Default"/>
        <w:ind w:left="207"/>
        <w:jc w:val="center"/>
        <w:rPr>
          <w:rFonts w:ascii="Arial" w:hAnsi="Arial" w:cs="Arial"/>
          <w:b/>
          <w:i/>
          <w:sz w:val="20"/>
        </w:rPr>
      </w:pPr>
      <w:r w:rsidRPr="00B73531">
        <w:rPr>
          <w:rFonts w:ascii="Arial" w:hAnsi="Arial" w:cs="Arial"/>
          <w:b/>
          <w:i/>
          <w:sz w:val="20"/>
        </w:rPr>
        <w:t xml:space="preserve">en fonction de l’avancée de la généralisation du tri à la source des biodéchets de la collectivité. </w:t>
      </w:r>
    </w:p>
    <w:p w14:paraId="24A45981" w14:textId="633650D2" w:rsidR="002E0DF7" w:rsidRPr="00B73531" w:rsidRDefault="002E0DF7" w:rsidP="002E0DF7">
      <w:pPr>
        <w:pStyle w:val="Default"/>
        <w:ind w:left="207"/>
        <w:jc w:val="center"/>
        <w:rPr>
          <w:rFonts w:ascii="Arial" w:hAnsi="Arial" w:cs="Arial"/>
          <w:b/>
          <w:i/>
          <w:sz w:val="20"/>
        </w:rPr>
      </w:pPr>
      <w:r w:rsidRPr="00B73531">
        <w:rPr>
          <w:rFonts w:ascii="Arial" w:hAnsi="Arial" w:cs="Arial"/>
          <w:b/>
          <w:i/>
          <w:sz w:val="20"/>
        </w:rPr>
        <w:t xml:space="preserve">Néanmoins les études seront un pré requis avant tout demande d’investissement </w:t>
      </w:r>
    </w:p>
    <w:p w14:paraId="35C76161" w14:textId="55382C18" w:rsidR="00584DD9" w:rsidRPr="00B73531" w:rsidRDefault="00584DD9" w:rsidP="002E0DF7">
      <w:pPr>
        <w:pStyle w:val="Default"/>
        <w:ind w:left="207"/>
        <w:jc w:val="center"/>
        <w:rPr>
          <w:rFonts w:ascii="Arial" w:hAnsi="Arial" w:cs="Arial"/>
          <w:b/>
          <w:i/>
          <w:sz w:val="20"/>
        </w:rPr>
      </w:pPr>
    </w:p>
    <w:p w14:paraId="1539B67B" w14:textId="322A9645" w:rsidR="002E0DF7" w:rsidRDefault="002E0DF7" w:rsidP="00584DD9">
      <w:pPr>
        <w:pStyle w:val="Default"/>
        <w:rPr>
          <w:rFonts w:ascii="Arial" w:hAnsi="Arial" w:cs="Arial"/>
          <w:b/>
          <w:i/>
          <w:sz w:val="20"/>
        </w:rPr>
      </w:pPr>
    </w:p>
    <w:tbl>
      <w:tblPr>
        <w:tblStyle w:val="Grilledutableau"/>
        <w:tblW w:w="0" w:type="auto"/>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shd w:val="clear" w:color="auto" w:fill="DAEEF3" w:themeFill="accent5" w:themeFillTint="33"/>
        <w:tblLook w:val="04A0" w:firstRow="1" w:lastRow="0" w:firstColumn="1" w:lastColumn="0" w:noHBand="0" w:noVBand="1"/>
      </w:tblPr>
      <w:tblGrid>
        <w:gridCol w:w="9493"/>
      </w:tblGrid>
      <w:tr w:rsidR="001D698B" w14:paraId="266C9C91" w14:textId="77777777" w:rsidTr="00541AEA">
        <w:trPr>
          <w:trHeight w:val="1337"/>
        </w:trPr>
        <w:tc>
          <w:tcPr>
            <w:tcW w:w="9493" w:type="dxa"/>
            <w:shd w:val="clear" w:color="auto" w:fill="DAEEF3" w:themeFill="accent5" w:themeFillTint="33"/>
          </w:tcPr>
          <w:p w14:paraId="5E386E44" w14:textId="767216BB" w:rsidR="001D698B" w:rsidRPr="001D698B" w:rsidRDefault="009A1D88" w:rsidP="00DD756D">
            <w:pPr>
              <w:pStyle w:val="Paragraphedeliste"/>
              <w:numPr>
                <w:ilvl w:val="0"/>
                <w:numId w:val="4"/>
              </w:numPr>
              <w:ind w:left="714" w:hanging="357"/>
              <w:contextualSpacing w:val="0"/>
            </w:pPr>
            <w:r>
              <w:rPr>
                <w:u w:val="single"/>
              </w:rPr>
              <w:t>Volet 1</w:t>
            </w:r>
            <w:r w:rsidR="001D698B">
              <w:t xml:space="preserve"> : Définir </w:t>
            </w:r>
            <w:r w:rsidR="001D698B" w:rsidRPr="001D698B">
              <w:rPr>
                <w:b/>
              </w:rPr>
              <w:t>une stratégie de généralisation</w:t>
            </w:r>
            <w:r w:rsidR="001D698B">
              <w:t xml:space="preserve"> </w:t>
            </w:r>
            <w:r w:rsidR="001D698B" w:rsidRPr="001D698B">
              <w:rPr>
                <w:b/>
              </w:rPr>
              <w:t>de tri à la source des biodéchets</w:t>
            </w:r>
            <w:r w:rsidR="00443BD3">
              <w:t xml:space="preserve">  </w:t>
            </w:r>
          </w:p>
          <w:p w14:paraId="5D1C4A0F" w14:textId="5B1CAD5A" w:rsidR="0038153A" w:rsidRPr="001E2058" w:rsidRDefault="009A1D88" w:rsidP="00DD756D">
            <w:pPr>
              <w:pStyle w:val="Paragraphedeliste"/>
              <w:numPr>
                <w:ilvl w:val="0"/>
                <w:numId w:val="4"/>
              </w:numPr>
              <w:ind w:left="714" w:hanging="357"/>
              <w:contextualSpacing w:val="0"/>
            </w:pPr>
            <w:r>
              <w:rPr>
                <w:u w:val="single"/>
              </w:rPr>
              <w:t>Volet 2</w:t>
            </w:r>
            <w:r w:rsidR="001D698B">
              <w:t xml:space="preserve"> : Renforcer les </w:t>
            </w:r>
            <w:r w:rsidR="001D698B" w:rsidRPr="003D1FFC">
              <w:rPr>
                <w:b/>
              </w:rPr>
              <w:t>opérations de gestion de proximité des biodéchets</w:t>
            </w:r>
          </w:p>
          <w:p w14:paraId="5760C2F8" w14:textId="77777777" w:rsidR="001D698B" w:rsidRPr="00497233" w:rsidRDefault="0038153A" w:rsidP="004F4AA4">
            <w:pPr>
              <w:pStyle w:val="Paragraphedeliste"/>
              <w:numPr>
                <w:ilvl w:val="0"/>
                <w:numId w:val="4"/>
              </w:numPr>
              <w:ind w:left="714" w:hanging="357"/>
              <w:contextualSpacing w:val="0"/>
            </w:pPr>
            <w:r>
              <w:rPr>
                <w:u w:val="single"/>
              </w:rPr>
              <w:t xml:space="preserve">Volet </w:t>
            </w:r>
            <w:r w:rsidR="009A1D88">
              <w:rPr>
                <w:u w:val="single"/>
              </w:rPr>
              <w:t>3</w:t>
            </w:r>
            <w:r w:rsidR="001D698B">
              <w:t xml:space="preserve"> : Mettre en place des </w:t>
            </w:r>
            <w:r w:rsidR="001D698B" w:rsidRPr="003D1FFC">
              <w:rPr>
                <w:b/>
              </w:rPr>
              <w:t xml:space="preserve">collectes </w:t>
            </w:r>
            <w:r w:rsidR="001D698B">
              <w:rPr>
                <w:b/>
              </w:rPr>
              <w:t xml:space="preserve">séparées des biodéchets </w:t>
            </w:r>
            <w:r w:rsidR="009A1D88" w:rsidRPr="009A1D88">
              <w:rPr>
                <w:b/>
                <w:i/>
                <w:color w:val="FF0000"/>
              </w:rPr>
              <w:t> </w:t>
            </w:r>
          </w:p>
          <w:p w14:paraId="04817F1C" w14:textId="07F873B3" w:rsidR="00497233" w:rsidRPr="00497233" w:rsidRDefault="00497233" w:rsidP="00497233">
            <w:pPr>
              <w:pStyle w:val="Paragraphedeliste"/>
              <w:numPr>
                <w:ilvl w:val="0"/>
                <w:numId w:val="4"/>
              </w:numPr>
              <w:ind w:left="714" w:hanging="357"/>
              <w:contextualSpacing w:val="0"/>
            </w:pPr>
            <w:r w:rsidRPr="00DC1F97">
              <w:rPr>
                <w:u w:val="single"/>
              </w:rPr>
              <w:t>Volet 4</w:t>
            </w:r>
            <w:r w:rsidRPr="00DC1F97">
              <w:t xml:space="preserve"> : Déployer les </w:t>
            </w:r>
            <w:r w:rsidRPr="00DC1F97">
              <w:rPr>
                <w:b/>
              </w:rPr>
              <w:t>plateformes de compostage</w:t>
            </w:r>
            <w:r w:rsidR="00A057B8">
              <w:rPr>
                <w:b/>
              </w:rPr>
              <w:t xml:space="preserve"> à maîtrise d’ouvrage publique</w:t>
            </w:r>
            <w:r w:rsidR="00A057B8">
              <w:rPr>
                <w:rStyle w:val="Appelnotedebasdep"/>
                <w:b/>
              </w:rPr>
              <w:footnoteReference w:id="2"/>
            </w:r>
          </w:p>
          <w:p w14:paraId="192E75DF" w14:textId="137B83F1" w:rsidR="00497233" w:rsidRPr="00497233" w:rsidRDefault="00497233" w:rsidP="00497233">
            <w:pPr>
              <w:pStyle w:val="Paragraphedeliste"/>
              <w:ind w:left="714"/>
              <w:contextualSpacing w:val="0"/>
              <w:rPr>
                <w:sz w:val="6"/>
              </w:rPr>
            </w:pPr>
          </w:p>
        </w:tc>
      </w:tr>
    </w:tbl>
    <w:p w14:paraId="67DD12A5" w14:textId="2B91C002" w:rsidR="00C0262B" w:rsidRDefault="00C0262B" w:rsidP="00A2546A">
      <w:pPr>
        <w:pStyle w:val="Default"/>
        <w:ind w:left="207"/>
        <w:jc w:val="center"/>
        <w:rPr>
          <w:rFonts w:ascii="Arial" w:hAnsi="Arial" w:cs="Arial"/>
          <w:b/>
          <w:i/>
          <w:sz w:val="20"/>
        </w:rPr>
      </w:pPr>
    </w:p>
    <w:p w14:paraId="117FDABB" w14:textId="408C4557" w:rsidR="00B73531" w:rsidRDefault="00B73531" w:rsidP="00A2546A">
      <w:pPr>
        <w:pStyle w:val="Default"/>
        <w:ind w:left="207"/>
        <w:jc w:val="center"/>
        <w:rPr>
          <w:rFonts w:ascii="Arial" w:hAnsi="Arial" w:cs="Arial"/>
          <w:b/>
          <w:i/>
          <w:sz w:val="20"/>
        </w:rPr>
      </w:pPr>
    </w:p>
    <w:p w14:paraId="604CEEF9" w14:textId="7AD77596" w:rsidR="00B73531" w:rsidRDefault="00B73531" w:rsidP="00A2546A">
      <w:pPr>
        <w:pStyle w:val="Default"/>
        <w:ind w:left="207"/>
        <w:jc w:val="center"/>
        <w:rPr>
          <w:rFonts w:ascii="Arial" w:hAnsi="Arial" w:cs="Arial"/>
          <w:b/>
          <w:i/>
          <w:sz w:val="20"/>
        </w:rPr>
      </w:pPr>
    </w:p>
    <w:p w14:paraId="36C6E405" w14:textId="45AFBEE8" w:rsidR="00B73531" w:rsidRDefault="00B73531" w:rsidP="00A2546A">
      <w:pPr>
        <w:pStyle w:val="Default"/>
        <w:ind w:left="207"/>
        <w:jc w:val="center"/>
        <w:rPr>
          <w:rFonts w:ascii="Arial" w:hAnsi="Arial" w:cs="Arial"/>
          <w:b/>
          <w:i/>
          <w:sz w:val="20"/>
        </w:rPr>
      </w:pPr>
    </w:p>
    <w:p w14:paraId="023B9524" w14:textId="5839CEC9" w:rsidR="00B73531" w:rsidRDefault="00B73531" w:rsidP="00A2546A">
      <w:pPr>
        <w:pStyle w:val="Default"/>
        <w:ind w:left="207"/>
        <w:jc w:val="center"/>
        <w:rPr>
          <w:rFonts w:ascii="Arial" w:hAnsi="Arial" w:cs="Arial"/>
          <w:b/>
          <w:i/>
          <w:sz w:val="20"/>
        </w:rPr>
      </w:pPr>
    </w:p>
    <w:p w14:paraId="7019AF3B" w14:textId="3F2EB11A" w:rsidR="00753FC4" w:rsidRDefault="00753FC4" w:rsidP="00A2546A">
      <w:pPr>
        <w:pStyle w:val="Default"/>
        <w:ind w:left="207"/>
        <w:jc w:val="center"/>
        <w:rPr>
          <w:rFonts w:ascii="Arial" w:hAnsi="Arial" w:cs="Arial"/>
          <w:b/>
          <w:i/>
          <w:sz w:val="20"/>
        </w:rPr>
      </w:pPr>
    </w:p>
    <w:p w14:paraId="0F9249C0" w14:textId="3E8B12F0" w:rsidR="00716A2F" w:rsidRDefault="00A173FF" w:rsidP="001B2EB4">
      <w:pPr>
        <w:pStyle w:val="Titre3"/>
        <w:spacing w:before="240"/>
      </w:pPr>
      <w:r>
        <w:lastRenderedPageBreak/>
        <w:t>Volet 1</w:t>
      </w:r>
      <w:r w:rsidR="00A2546A" w:rsidRPr="00A2546A">
        <w:t xml:space="preserve"> - </w:t>
      </w:r>
      <w:r w:rsidR="001D698B" w:rsidRPr="00A2546A">
        <w:t>Définition d’une s</w:t>
      </w:r>
      <w:r w:rsidR="00612969" w:rsidRPr="00A2546A">
        <w:t>tratégie</w:t>
      </w:r>
      <w:r w:rsidR="001D698B" w:rsidRPr="00A2546A">
        <w:t xml:space="preserve"> </w:t>
      </w:r>
      <w:r w:rsidR="00716A2F" w:rsidRPr="00A2546A">
        <w:t xml:space="preserve">de </w:t>
      </w:r>
      <w:r w:rsidR="001D698B" w:rsidRPr="00A2546A">
        <w:t xml:space="preserve">généralisation de </w:t>
      </w:r>
      <w:r w:rsidR="00716A2F" w:rsidRPr="00A2546A">
        <w:t xml:space="preserve">tri à la source des biodéchets </w:t>
      </w:r>
    </w:p>
    <w:p w14:paraId="7862636A" w14:textId="77777777" w:rsidR="00466737" w:rsidRPr="00466737" w:rsidRDefault="00466737" w:rsidP="00466737"/>
    <w:p w14:paraId="77285844" w14:textId="77777777" w:rsidR="00B73531" w:rsidRDefault="007C5DF3" w:rsidP="00B73531">
      <w:pPr>
        <w:pStyle w:val="Paragraphedeliste"/>
        <w:numPr>
          <w:ilvl w:val="0"/>
          <w:numId w:val="4"/>
        </w:numPr>
        <w:spacing w:after="120"/>
        <w:ind w:left="284" w:hanging="284"/>
        <w:contextualSpacing w:val="0"/>
        <w:rPr>
          <w:rFonts w:ascii="Helvetica" w:hAnsi="Helvetica" w:cs="Helvetica"/>
        </w:rPr>
      </w:pPr>
      <w:r w:rsidRPr="004A44F5">
        <w:rPr>
          <w:b/>
        </w:rPr>
        <w:t>Schéma</w:t>
      </w:r>
      <w:r w:rsidR="00612969" w:rsidRPr="004A44F5">
        <w:rPr>
          <w:b/>
        </w:rPr>
        <w:t>s territoriaux de tri à la source des biodéchets</w:t>
      </w:r>
      <w:r w:rsidR="00804275">
        <w:t xml:space="preserve"> : </w:t>
      </w:r>
      <w:r w:rsidR="00B73531">
        <w:t>A</w:t>
      </w:r>
      <w:r w:rsidR="004A44F5">
        <w:t xml:space="preserve"> partir </w:t>
      </w:r>
      <w:r w:rsidR="00A35AA9">
        <w:t>de la réalisation d’un</w:t>
      </w:r>
      <w:r w:rsidR="004A44F5">
        <w:t xml:space="preserve"> </w:t>
      </w:r>
      <w:r w:rsidR="004A44F5" w:rsidRPr="001E4413">
        <w:rPr>
          <w:b/>
        </w:rPr>
        <w:t>diagnostic</w:t>
      </w:r>
      <w:r w:rsidR="00A35AA9" w:rsidRPr="00B73531">
        <w:rPr>
          <w:b/>
        </w:rPr>
        <w:t xml:space="preserve"> </w:t>
      </w:r>
      <w:r w:rsidR="00B73531" w:rsidRPr="00DC1F97">
        <w:rPr>
          <w:b/>
        </w:rPr>
        <w:t>territorial</w:t>
      </w:r>
      <w:r w:rsidR="00B73531">
        <w:t xml:space="preserve"> </w:t>
      </w:r>
      <w:r w:rsidR="00A35AA9">
        <w:t>de l’existant</w:t>
      </w:r>
      <w:r w:rsidR="004A44F5">
        <w:t xml:space="preserve">, il </w:t>
      </w:r>
      <w:r w:rsidR="00A35AA9">
        <w:t>pourra être possible</w:t>
      </w:r>
      <w:r w:rsidR="004A44F5">
        <w:t xml:space="preserve"> de</w:t>
      </w:r>
      <w:r w:rsidR="002A6BE6">
        <w:t xml:space="preserve"> </w:t>
      </w:r>
      <w:r w:rsidR="000700E0">
        <w:rPr>
          <w:rFonts w:ascii="Helvetica" w:hAnsi="Helvetica" w:cs="Helvetica"/>
        </w:rPr>
        <w:t>mieux connaî</w:t>
      </w:r>
      <w:r w:rsidR="00804275">
        <w:rPr>
          <w:rFonts w:ascii="Helvetica" w:hAnsi="Helvetica" w:cs="Helvetica"/>
        </w:rPr>
        <w:t>tre le gisement de</w:t>
      </w:r>
      <w:r w:rsidR="000700E0">
        <w:rPr>
          <w:rFonts w:ascii="Helvetica" w:hAnsi="Helvetica" w:cs="Helvetica"/>
        </w:rPr>
        <w:t>s</w:t>
      </w:r>
      <w:r w:rsidR="00804275">
        <w:rPr>
          <w:rFonts w:ascii="Helvetica" w:hAnsi="Helvetica" w:cs="Helvetica"/>
        </w:rPr>
        <w:t xml:space="preserve"> biodéchets produits et</w:t>
      </w:r>
      <w:r w:rsidR="002A6BE6">
        <w:rPr>
          <w:rFonts w:ascii="Helvetica" w:hAnsi="Helvetica" w:cs="Helvetica"/>
        </w:rPr>
        <w:t xml:space="preserve"> </w:t>
      </w:r>
      <w:r w:rsidR="00804275">
        <w:rPr>
          <w:rFonts w:ascii="Helvetica" w:hAnsi="Helvetica" w:cs="Helvetica"/>
        </w:rPr>
        <w:t xml:space="preserve">potentiellement captables </w:t>
      </w:r>
      <w:r w:rsidR="002A6BE6">
        <w:rPr>
          <w:rFonts w:ascii="Helvetica" w:hAnsi="Helvetica" w:cs="Helvetica"/>
        </w:rPr>
        <w:t>pour</w:t>
      </w:r>
      <w:r w:rsidR="00804275">
        <w:rPr>
          <w:rFonts w:ascii="Helvetica" w:hAnsi="Helvetica" w:cs="Helvetica"/>
        </w:rPr>
        <w:t xml:space="preserve"> définir un schéma</w:t>
      </w:r>
      <w:r w:rsidR="00A35AA9">
        <w:rPr>
          <w:rFonts w:ascii="Helvetica" w:hAnsi="Helvetica" w:cs="Helvetica"/>
        </w:rPr>
        <w:t xml:space="preserve"> futur</w:t>
      </w:r>
      <w:r w:rsidR="00804275">
        <w:rPr>
          <w:rFonts w:ascii="Helvetica" w:hAnsi="Helvetica" w:cs="Helvetica"/>
        </w:rPr>
        <w:t xml:space="preserve"> d’organisation optimisé, selon</w:t>
      </w:r>
      <w:r w:rsidR="002A6BE6">
        <w:rPr>
          <w:rFonts w:ascii="Helvetica" w:hAnsi="Helvetica" w:cs="Helvetica"/>
        </w:rPr>
        <w:t xml:space="preserve"> </w:t>
      </w:r>
      <w:r w:rsidR="00804275">
        <w:rPr>
          <w:rFonts w:ascii="Helvetica" w:hAnsi="Helvetica" w:cs="Helvetica"/>
        </w:rPr>
        <w:t xml:space="preserve">les secteurs du territoire, </w:t>
      </w:r>
      <w:r w:rsidR="002A6BE6">
        <w:rPr>
          <w:rFonts w:ascii="Helvetica" w:hAnsi="Helvetica" w:cs="Helvetica"/>
        </w:rPr>
        <w:t xml:space="preserve">articulant </w:t>
      </w:r>
      <w:r w:rsidR="00804275">
        <w:rPr>
          <w:rFonts w:ascii="Helvetica" w:hAnsi="Helvetica" w:cs="Helvetica"/>
        </w:rPr>
        <w:t>les différentes solutions complémentaires de tri à la source que</w:t>
      </w:r>
      <w:r w:rsidR="002A6BE6">
        <w:rPr>
          <w:rFonts w:ascii="Helvetica" w:hAnsi="Helvetica" w:cs="Helvetica"/>
        </w:rPr>
        <w:t xml:space="preserve"> </w:t>
      </w:r>
      <w:r w:rsidR="00804275">
        <w:rPr>
          <w:rFonts w:ascii="Helvetica" w:hAnsi="Helvetica" w:cs="Helvetica"/>
        </w:rPr>
        <w:t>sont d’une part la gestion de proximité (compostage domestique,</w:t>
      </w:r>
      <w:r w:rsidR="002A6BE6">
        <w:rPr>
          <w:rFonts w:ascii="Helvetica" w:hAnsi="Helvetica" w:cs="Helvetica"/>
        </w:rPr>
        <w:t xml:space="preserve"> </w:t>
      </w:r>
      <w:r w:rsidR="00804275">
        <w:rPr>
          <w:rFonts w:ascii="Helvetica" w:hAnsi="Helvetica" w:cs="Helvetica"/>
        </w:rPr>
        <w:t>partagé en pied d’</w:t>
      </w:r>
      <w:r w:rsidR="004A44F5">
        <w:rPr>
          <w:rFonts w:ascii="Helvetica" w:hAnsi="Helvetica" w:cs="Helvetica"/>
        </w:rPr>
        <w:t xml:space="preserve">immeubles, </w:t>
      </w:r>
      <w:r w:rsidR="002A6BE6">
        <w:rPr>
          <w:rFonts w:ascii="Helvetica" w:hAnsi="Helvetica" w:cs="Helvetica"/>
        </w:rPr>
        <w:t>de</w:t>
      </w:r>
      <w:r w:rsidR="00804275">
        <w:rPr>
          <w:rFonts w:ascii="Helvetica" w:hAnsi="Helvetica" w:cs="Helvetica"/>
        </w:rPr>
        <w:t xml:space="preserve"> quartier, </w:t>
      </w:r>
      <w:r w:rsidR="004A44F5">
        <w:rPr>
          <w:rFonts w:ascii="Helvetica" w:hAnsi="Helvetica" w:cs="Helvetica"/>
        </w:rPr>
        <w:t>…</w:t>
      </w:r>
      <w:r w:rsidR="00804275">
        <w:rPr>
          <w:rFonts w:ascii="Helvetica" w:hAnsi="Helvetica" w:cs="Helvetica"/>
        </w:rPr>
        <w:t>), et d’autre part les collectes séparées en porte à porte ou apport volontaire</w:t>
      </w:r>
      <w:r w:rsidR="002A6BE6">
        <w:rPr>
          <w:rFonts w:ascii="Helvetica" w:hAnsi="Helvetica" w:cs="Helvetica"/>
        </w:rPr>
        <w:t xml:space="preserve"> </w:t>
      </w:r>
      <w:r w:rsidR="00804275">
        <w:rPr>
          <w:rFonts w:ascii="Helvetica" w:hAnsi="Helvetica" w:cs="Helvetica"/>
        </w:rPr>
        <w:t xml:space="preserve">avec </w:t>
      </w:r>
      <w:r w:rsidR="002A6BE6">
        <w:rPr>
          <w:rFonts w:ascii="Helvetica" w:hAnsi="Helvetica" w:cs="Helvetica"/>
        </w:rPr>
        <w:t>valorisation</w:t>
      </w:r>
      <w:r w:rsidR="00804275">
        <w:rPr>
          <w:rFonts w:ascii="Helvetica" w:hAnsi="Helvetica" w:cs="Helvetica"/>
        </w:rPr>
        <w:t xml:space="preserve"> centralisé</w:t>
      </w:r>
      <w:r w:rsidR="002A6BE6">
        <w:rPr>
          <w:rFonts w:ascii="Helvetica" w:hAnsi="Helvetica" w:cs="Helvetica"/>
        </w:rPr>
        <w:t>s</w:t>
      </w:r>
      <w:r w:rsidR="00804275">
        <w:rPr>
          <w:rFonts w:ascii="Helvetica" w:hAnsi="Helvetica" w:cs="Helvetica"/>
        </w:rPr>
        <w:t xml:space="preserve"> (compostage industriel, méthanisation). Il proposera pour le</w:t>
      </w:r>
      <w:r w:rsidR="002A6BE6">
        <w:rPr>
          <w:rFonts w:ascii="Helvetica" w:hAnsi="Helvetica" w:cs="Helvetica"/>
        </w:rPr>
        <w:t xml:space="preserve"> </w:t>
      </w:r>
      <w:r w:rsidR="00804275">
        <w:rPr>
          <w:rFonts w:ascii="Helvetica" w:hAnsi="Helvetica" w:cs="Helvetica"/>
        </w:rPr>
        <w:t>scénario optimal retenu un plan d’</w:t>
      </w:r>
      <w:r w:rsidR="00A35AA9">
        <w:rPr>
          <w:rFonts w:ascii="Helvetica" w:hAnsi="Helvetica" w:cs="Helvetica"/>
        </w:rPr>
        <w:t>actions pouvant intégrer la prévention, la gestion de proximité et la valorisation.</w:t>
      </w:r>
      <w:r w:rsidR="004A44F5">
        <w:rPr>
          <w:rFonts w:ascii="Helvetica" w:hAnsi="Helvetica" w:cs="Helvetica"/>
        </w:rPr>
        <w:t xml:space="preserve"> </w:t>
      </w:r>
      <w:r w:rsidR="00804275" w:rsidRPr="004A44F5">
        <w:rPr>
          <w:rFonts w:ascii="Helvetica" w:hAnsi="Helvetica" w:cs="Helvetica"/>
        </w:rPr>
        <w:t xml:space="preserve">Ce schéma </w:t>
      </w:r>
      <w:r w:rsidR="00223151">
        <w:rPr>
          <w:rFonts w:ascii="Helvetica" w:hAnsi="Helvetica" w:cs="Helvetica"/>
        </w:rPr>
        <w:t>pourra</w:t>
      </w:r>
      <w:r w:rsidR="00804275" w:rsidRPr="004A44F5">
        <w:rPr>
          <w:rFonts w:ascii="Helvetica" w:hAnsi="Helvetica" w:cs="Helvetica"/>
        </w:rPr>
        <w:t xml:space="preserve"> être réalisé dans le cadre d’une réflexion globale sur le Service Public de</w:t>
      </w:r>
      <w:r w:rsidR="004A44F5" w:rsidRPr="004A44F5">
        <w:rPr>
          <w:rFonts w:ascii="Helvetica" w:hAnsi="Helvetica" w:cs="Helvetica"/>
        </w:rPr>
        <w:t xml:space="preserve"> </w:t>
      </w:r>
      <w:r w:rsidR="00804275" w:rsidRPr="004A44F5">
        <w:rPr>
          <w:rFonts w:ascii="Helvetica" w:hAnsi="Helvetica" w:cs="Helvetica"/>
        </w:rPr>
        <w:t>Gestion des Déchets, prenant en compte toutes les composantes du service et les</w:t>
      </w:r>
      <w:r w:rsidR="004A44F5" w:rsidRPr="004A44F5">
        <w:rPr>
          <w:rFonts w:ascii="Helvetica" w:hAnsi="Helvetica" w:cs="Helvetica"/>
        </w:rPr>
        <w:t xml:space="preserve"> </w:t>
      </w:r>
      <w:r w:rsidR="00804275" w:rsidRPr="004A44F5">
        <w:rPr>
          <w:rFonts w:ascii="Helvetica" w:hAnsi="Helvetica" w:cs="Helvetica"/>
        </w:rPr>
        <w:t>potentielles interactions entre les différents flux collectés dans un souci de maitrise de la</w:t>
      </w:r>
      <w:r w:rsidR="004A44F5" w:rsidRPr="004A44F5">
        <w:rPr>
          <w:rFonts w:ascii="Helvetica" w:hAnsi="Helvetica" w:cs="Helvetica"/>
        </w:rPr>
        <w:t xml:space="preserve"> </w:t>
      </w:r>
      <w:r w:rsidR="00804275" w:rsidRPr="004A44F5">
        <w:rPr>
          <w:rFonts w:ascii="Helvetica" w:hAnsi="Helvetica" w:cs="Helvetica"/>
        </w:rPr>
        <w:t>qualité et des coûts du service dans sa globalité.</w:t>
      </w:r>
      <w:r w:rsidR="004A44F5">
        <w:rPr>
          <w:rFonts w:ascii="Helvetica" w:hAnsi="Helvetica" w:cs="Helvetica"/>
        </w:rPr>
        <w:t xml:space="preserve"> </w:t>
      </w:r>
      <w:r w:rsidR="00804275" w:rsidRPr="004A44F5">
        <w:rPr>
          <w:rFonts w:ascii="Helvetica" w:hAnsi="Helvetica" w:cs="Helvetica"/>
        </w:rPr>
        <w:t>Il devra également intégrer une approche spécifique sur la question du retour au sol d’une</w:t>
      </w:r>
      <w:r w:rsidR="004A44F5">
        <w:rPr>
          <w:rFonts w:ascii="Helvetica" w:hAnsi="Helvetica" w:cs="Helvetica"/>
        </w:rPr>
        <w:t xml:space="preserve"> </w:t>
      </w:r>
      <w:r w:rsidR="00804275" w:rsidRPr="004A44F5">
        <w:rPr>
          <w:rFonts w:ascii="Helvetica" w:hAnsi="Helvetica" w:cs="Helvetica"/>
        </w:rPr>
        <w:t>matière organique de qualité compatible avec les objectifs de préservation des milieux et les</w:t>
      </w:r>
      <w:r w:rsidR="004A44F5">
        <w:rPr>
          <w:rFonts w:ascii="Helvetica" w:hAnsi="Helvetica" w:cs="Helvetica"/>
        </w:rPr>
        <w:t xml:space="preserve"> </w:t>
      </w:r>
      <w:r w:rsidR="00804275" w:rsidRPr="004A44F5">
        <w:rPr>
          <w:rFonts w:ascii="Helvetica" w:hAnsi="Helvetica" w:cs="Helvetica"/>
        </w:rPr>
        <w:t>besoins du monde agricole</w:t>
      </w:r>
      <w:r w:rsidR="00F37236">
        <w:rPr>
          <w:rFonts w:ascii="Helvetica" w:hAnsi="Helvetica" w:cs="Helvetica"/>
        </w:rPr>
        <w:t>.</w:t>
      </w:r>
    </w:p>
    <w:p w14:paraId="21AEE67B" w14:textId="71687725" w:rsidR="00466737" w:rsidRPr="001E4413" w:rsidRDefault="00B73531" w:rsidP="001E4413">
      <w:pPr>
        <w:pStyle w:val="Paragraphedeliste"/>
        <w:numPr>
          <w:ilvl w:val="0"/>
          <w:numId w:val="4"/>
        </w:numPr>
        <w:spacing w:after="120"/>
        <w:ind w:left="284" w:hanging="284"/>
        <w:contextualSpacing w:val="0"/>
        <w:rPr>
          <w:rFonts w:ascii="Helvetica" w:hAnsi="Helvetica" w:cs="Helvetica"/>
        </w:rPr>
      </w:pPr>
      <w:r w:rsidRPr="00B73531">
        <w:rPr>
          <w:b/>
        </w:rPr>
        <w:t>E</w:t>
      </w:r>
      <w:r w:rsidR="00536A98" w:rsidRPr="00B73531">
        <w:rPr>
          <w:b/>
        </w:rPr>
        <w:t>tude</w:t>
      </w:r>
      <w:r w:rsidRPr="00B73531">
        <w:rPr>
          <w:b/>
        </w:rPr>
        <w:t>s</w:t>
      </w:r>
      <w:r w:rsidR="00536A98" w:rsidRPr="00B73531">
        <w:rPr>
          <w:b/>
        </w:rPr>
        <w:t xml:space="preserve"> </w:t>
      </w:r>
      <w:r w:rsidR="00A35AA9" w:rsidRPr="00DC1F97">
        <w:rPr>
          <w:b/>
        </w:rPr>
        <w:t>pré</w:t>
      </w:r>
      <w:r w:rsidR="00B103A1" w:rsidRPr="00DC1F97">
        <w:rPr>
          <w:b/>
        </w:rPr>
        <w:t>alable</w:t>
      </w:r>
      <w:r w:rsidRPr="00DC1F97">
        <w:rPr>
          <w:b/>
        </w:rPr>
        <w:t>s</w:t>
      </w:r>
      <w:r w:rsidR="00B103A1" w:rsidRPr="00DC1F97">
        <w:rPr>
          <w:b/>
        </w:rPr>
        <w:t xml:space="preserve"> </w:t>
      </w:r>
      <w:r w:rsidR="00A35AA9" w:rsidRPr="00DC1F97">
        <w:t>pour l’instauration d’un dispositif de tri à la source des biodéchets incluant une</w:t>
      </w:r>
      <w:r w:rsidR="00A35AA9" w:rsidRPr="00DC1F97">
        <w:rPr>
          <w:b/>
        </w:rPr>
        <w:t xml:space="preserve"> collecte</w:t>
      </w:r>
      <w:r w:rsidR="00A35AA9" w:rsidRPr="00DC1F97">
        <w:rPr>
          <w:rFonts w:ascii="Helvetica" w:hAnsi="Helvetica" w:cs="Helvetica"/>
        </w:rPr>
        <w:t xml:space="preserve"> </w:t>
      </w:r>
      <w:r w:rsidR="00A35AA9" w:rsidRPr="00DC1F97">
        <w:rPr>
          <w:rFonts w:ascii="Helvetica" w:hAnsi="Helvetica" w:cs="Helvetica"/>
          <w:b/>
        </w:rPr>
        <w:t>séparée</w:t>
      </w:r>
      <w:r w:rsidR="00A35AA9" w:rsidRPr="00DC1F97">
        <w:rPr>
          <w:rFonts w:ascii="Helvetica" w:hAnsi="Helvetica" w:cs="Helvetica"/>
        </w:rPr>
        <w:t xml:space="preserve"> </w:t>
      </w:r>
      <w:r w:rsidRPr="00DC1F97">
        <w:rPr>
          <w:rFonts w:ascii="Helvetica" w:hAnsi="Helvetica" w:cs="Helvetica"/>
        </w:rPr>
        <w:t xml:space="preserve">et/ou portant sur une </w:t>
      </w:r>
      <w:r w:rsidRPr="00DC1F97">
        <w:rPr>
          <w:rFonts w:ascii="Helvetica" w:hAnsi="Helvetica" w:cs="Helvetica"/>
          <w:b/>
        </w:rPr>
        <w:t>gestion de proximité</w:t>
      </w:r>
      <w:r w:rsidR="001E4413" w:rsidRPr="00DC1F97">
        <w:rPr>
          <w:rFonts w:ascii="Helvetica" w:hAnsi="Helvetica" w:cs="Helvetica"/>
          <w:b/>
        </w:rPr>
        <w:t xml:space="preserve"> </w:t>
      </w:r>
      <w:r w:rsidR="001E4413" w:rsidRPr="00DC1F97">
        <w:rPr>
          <w:rFonts w:ascii="Helvetica" w:hAnsi="Helvetica" w:cs="Helvetica"/>
        </w:rPr>
        <w:t>et/ou portant</w:t>
      </w:r>
      <w:r w:rsidR="00AE0B5A" w:rsidRPr="00DC1F97">
        <w:rPr>
          <w:rFonts w:ascii="Helvetica" w:hAnsi="Helvetica" w:cs="Helvetica"/>
        </w:rPr>
        <w:t xml:space="preserve"> sur une</w:t>
      </w:r>
      <w:r w:rsidR="00AE0B5A" w:rsidRPr="00DC1F97">
        <w:rPr>
          <w:rFonts w:ascii="Helvetica" w:hAnsi="Helvetica" w:cs="Helvetica"/>
          <w:b/>
        </w:rPr>
        <w:t xml:space="preserve"> installation de compostage</w:t>
      </w:r>
      <w:r w:rsidR="001E4413">
        <w:rPr>
          <w:rFonts w:ascii="Helvetica" w:hAnsi="Helvetica" w:cs="Helvetica"/>
        </w:rPr>
        <w:t xml:space="preserve"> : </w:t>
      </w:r>
      <w:r w:rsidR="00A35AA9" w:rsidRPr="00B73531">
        <w:rPr>
          <w:rFonts w:ascii="Helvetica" w:hAnsi="Helvetica" w:cs="Helvetica"/>
        </w:rPr>
        <w:t xml:space="preserve">permettant d’analyser et préciser les modalités technico-économiques et opérationnelles de mise en </w:t>
      </w:r>
      <w:r w:rsidR="001E4413" w:rsidRPr="00B73531">
        <w:rPr>
          <w:rFonts w:ascii="Helvetica" w:hAnsi="Helvetica" w:cs="Helvetica"/>
        </w:rPr>
        <w:t>œuvre</w:t>
      </w:r>
      <w:r w:rsidR="00A35AA9" w:rsidRPr="00B73531">
        <w:rPr>
          <w:rFonts w:ascii="Helvetica" w:hAnsi="Helvetica" w:cs="Helvetica"/>
        </w:rPr>
        <w:t>, d’extension ou d’optimisation de la filière sur le territoire, sur l’ensemble des étapes de pré-collecte, collecte, traitement.</w:t>
      </w:r>
    </w:p>
    <w:p w14:paraId="3FD47A9D" w14:textId="2971700A" w:rsidR="00FE7F3A" w:rsidRDefault="004A338A" w:rsidP="002F7614">
      <w:pPr>
        <w:spacing w:after="120"/>
        <w:rPr>
          <w:rFonts w:ascii="Helvetica" w:hAnsi="Helvetica" w:cs="Helvetica"/>
          <w:i/>
        </w:rPr>
      </w:pPr>
      <w:r>
        <w:rPr>
          <w:rFonts w:ascii="Helvetica" w:hAnsi="Helvetica" w:cs="Helvetica"/>
          <w:i/>
        </w:rPr>
        <w:t>Pour ce faire, c</w:t>
      </w:r>
      <w:r w:rsidRPr="004A338A">
        <w:rPr>
          <w:rFonts w:ascii="Helvetica" w:hAnsi="Helvetica" w:cs="Helvetica"/>
          <w:i/>
        </w:rPr>
        <w:t xml:space="preserve">es études </w:t>
      </w:r>
      <w:r w:rsidR="00223151">
        <w:rPr>
          <w:rFonts w:ascii="Helvetica" w:hAnsi="Helvetica" w:cs="Helvetica"/>
          <w:i/>
        </w:rPr>
        <w:t xml:space="preserve">globales </w:t>
      </w:r>
      <w:r w:rsidRPr="004A338A">
        <w:rPr>
          <w:rFonts w:ascii="Helvetica" w:hAnsi="Helvetica" w:cs="Helvetica"/>
          <w:i/>
        </w:rPr>
        <w:t xml:space="preserve">pourront </w:t>
      </w:r>
      <w:r>
        <w:rPr>
          <w:rFonts w:ascii="Helvetica" w:hAnsi="Helvetica" w:cs="Helvetica"/>
          <w:i/>
        </w:rPr>
        <w:t>comprendre</w:t>
      </w:r>
      <w:r w:rsidRPr="004A338A">
        <w:rPr>
          <w:rFonts w:ascii="Helvetica" w:hAnsi="Helvetica" w:cs="Helvetica"/>
          <w:i/>
        </w:rPr>
        <w:t xml:space="preserve"> des aspects plus précis comme la réalisation d’enquêtes, de caractérisations</w:t>
      </w:r>
      <w:r>
        <w:rPr>
          <w:rFonts w:ascii="Helvetica" w:hAnsi="Helvetica" w:cs="Helvetica"/>
          <w:i/>
        </w:rPr>
        <w:t xml:space="preserve"> des biodéchets</w:t>
      </w:r>
      <w:r w:rsidR="00E57EC6">
        <w:rPr>
          <w:rStyle w:val="Appelnotedebasdep"/>
          <w:rFonts w:ascii="Helvetica" w:hAnsi="Helvetica" w:cs="Helvetica"/>
          <w:i/>
        </w:rPr>
        <w:footnoteReference w:id="3"/>
      </w:r>
      <w:r w:rsidR="00A47730">
        <w:rPr>
          <w:rFonts w:ascii="Helvetica" w:hAnsi="Helvetica" w:cs="Helvetica"/>
          <w:i/>
        </w:rPr>
        <w:t>, système d’information géographique</w:t>
      </w:r>
      <w:r w:rsidRPr="004A338A">
        <w:rPr>
          <w:rFonts w:ascii="Helvetica" w:hAnsi="Helvetica" w:cs="Helvetica"/>
          <w:i/>
        </w:rPr>
        <w:t xml:space="preserve">, </w:t>
      </w:r>
      <w:r w:rsidR="008B4708">
        <w:rPr>
          <w:rFonts w:ascii="Helvetica" w:hAnsi="Helvetica" w:cs="Helvetica"/>
          <w:i/>
        </w:rPr>
        <w:t>diagnostic de pra</w:t>
      </w:r>
      <w:r w:rsidR="009518C7">
        <w:rPr>
          <w:rFonts w:ascii="Helvetica" w:hAnsi="Helvetica" w:cs="Helvetica"/>
          <w:i/>
        </w:rPr>
        <w:t>tique de brûlage à l’air libre</w:t>
      </w:r>
      <w:r w:rsidR="00B73531">
        <w:rPr>
          <w:rFonts w:ascii="Helvetica" w:hAnsi="Helvetica" w:cs="Helvetica"/>
          <w:i/>
        </w:rPr>
        <w:t xml:space="preserve"> </w:t>
      </w:r>
      <w:r w:rsidR="008B4708">
        <w:rPr>
          <w:rFonts w:ascii="Helvetica" w:hAnsi="Helvetica" w:cs="Helvetica"/>
          <w:i/>
        </w:rPr>
        <w:t xml:space="preserve">et </w:t>
      </w:r>
      <w:r w:rsidR="00F37236">
        <w:rPr>
          <w:rFonts w:ascii="Helvetica" w:hAnsi="Helvetica" w:cs="Helvetica"/>
          <w:i/>
        </w:rPr>
        <w:t xml:space="preserve">devront être doté d’une partie </w:t>
      </w:r>
      <w:r w:rsidR="008B4708">
        <w:rPr>
          <w:rFonts w:ascii="Helvetica" w:hAnsi="Helvetica" w:cs="Helvetica"/>
          <w:i/>
        </w:rPr>
        <w:t>de concertation et de mobilisation des parties prenantes.</w:t>
      </w:r>
    </w:p>
    <w:p w14:paraId="0E5C922F" w14:textId="01D32BC7" w:rsidR="00466737" w:rsidRPr="001E4413" w:rsidRDefault="00022A1D" w:rsidP="001E4413">
      <w:pPr>
        <w:spacing w:after="120"/>
        <w:rPr>
          <w:rStyle w:val="Lienhypertexte"/>
          <w:rFonts w:ascii="Helvetica" w:hAnsi="Helvetica" w:cs="Helvetica"/>
          <w:i/>
          <w:color w:val="auto"/>
          <w:u w:val="none"/>
        </w:rPr>
      </w:pPr>
      <w:r>
        <w:rPr>
          <w:rFonts w:ascii="Helvetica" w:hAnsi="Helvetica" w:cs="Helvetica"/>
          <w:i/>
        </w:rPr>
        <w:t xml:space="preserve">Des exemples de cahiers de charges peuvent être communiqués aux collectivités qui le souhaitent. </w:t>
      </w:r>
      <w:r w:rsidR="002E0DF7" w:rsidRPr="00022A1D">
        <w:rPr>
          <w:rFonts w:ascii="Helvetica" w:hAnsi="Helvetica" w:cs="Helvetica"/>
          <w:i/>
        </w:rPr>
        <w:t xml:space="preserve">Les </w:t>
      </w:r>
      <w:r w:rsidR="00D40AA1" w:rsidRPr="00022A1D">
        <w:rPr>
          <w:rFonts w:ascii="Helvetica" w:hAnsi="Helvetica" w:cs="Helvetica"/>
          <w:i/>
        </w:rPr>
        <w:t>trames de c</w:t>
      </w:r>
      <w:r w:rsidR="007A3CD2" w:rsidRPr="00022A1D">
        <w:rPr>
          <w:rFonts w:ascii="Helvetica" w:hAnsi="Helvetica" w:cs="Helvetica"/>
          <w:i/>
        </w:rPr>
        <w:t>ahier</w:t>
      </w:r>
      <w:r w:rsidR="002E0DF7" w:rsidRPr="00022A1D">
        <w:rPr>
          <w:rFonts w:ascii="Helvetica" w:hAnsi="Helvetica" w:cs="Helvetica"/>
          <w:i/>
        </w:rPr>
        <w:t>s</w:t>
      </w:r>
      <w:r w:rsidR="007A3CD2" w:rsidRPr="00022A1D">
        <w:rPr>
          <w:rFonts w:ascii="Helvetica" w:hAnsi="Helvetica" w:cs="Helvetica"/>
          <w:i/>
        </w:rPr>
        <w:t xml:space="preserve"> des charges</w:t>
      </w:r>
      <w:r w:rsidR="002E0DF7" w:rsidRPr="00022A1D">
        <w:rPr>
          <w:rFonts w:ascii="Helvetica" w:hAnsi="Helvetica" w:cs="Helvetica"/>
          <w:i/>
        </w:rPr>
        <w:t xml:space="preserve"> </w:t>
      </w:r>
      <w:r w:rsidR="00D40AA1" w:rsidRPr="00022A1D">
        <w:rPr>
          <w:rFonts w:ascii="Helvetica" w:hAnsi="Helvetica" w:cs="Helvetica"/>
          <w:i/>
        </w:rPr>
        <w:t xml:space="preserve">à adapter selon </w:t>
      </w:r>
      <w:r>
        <w:rPr>
          <w:rFonts w:ascii="Helvetica" w:hAnsi="Helvetica" w:cs="Helvetica"/>
          <w:i/>
        </w:rPr>
        <w:t>le</w:t>
      </w:r>
      <w:r w:rsidR="00D40AA1" w:rsidRPr="00022A1D">
        <w:rPr>
          <w:rFonts w:ascii="Helvetica" w:hAnsi="Helvetica" w:cs="Helvetica"/>
          <w:i/>
        </w:rPr>
        <w:t xml:space="preserve"> contexte </w:t>
      </w:r>
      <w:r w:rsidR="002E0DF7" w:rsidRPr="00022A1D">
        <w:rPr>
          <w:rFonts w:ascii="Helvetica" w:hAnsi="Helvetica" w:cs="Helvetica"/>
          <w:i/>
        </w:rPr>
        <w:t xml:space="preserve">sont </w:t>
      </w:r>
      <w:r w:rsidR="001E4413">
        <w:rPr>
          <w:rFonts w:ascii="Helvetica" w:hAnsi="Helvetica" w:cs="Helvetica"/>
          <w:i/>
        </w:rPr>
        <w:t xml:space="preserve">directement </w:t>
      </w:r>
      <w:r w:rsidR="002E0DF7" w:rsidRPr="00022A1D">
        <w:rPr>
          <w:rFonts w:ascii="Helvetica" w:hAnsi="Helvetica" w:cs="Helvetica"/>
          <w:i/>
        </w:rPr>
        <w:t>disponibles</w:t>
      </w:r>
      <w:r w:rsidR="001E4413">
        <w:rPr>
          <w:rFonts w:ascii="Helvetica" w:hAnsi="Helvetica" w:cs="Helvetica"/>
          <w:i/>
        </w:rPr>
        <w:t xml:space="preserve"> sur la page Agir </w:t>
      </w:r>
      <w:r w:rsidR="00A057B8">
        <w:rPr>
          <w:rFonts w:ascii="Helvetica" w:hAnsi="Helvetica" w:cs="Helvetica"/>
          <w:i/>
        </w:rPr>
        <w:t xml:space="preserve">du présent </w:t>
      </w:r>
      <w:r w:rsidR="001E4413">
        <w:rPr>
          <w:rFonts w:ascii="Helvetica" w:hAnsi="Helvetica" w:cs="Helvetica"/>
          <w:i/>
        </w:rPr>
        <w:t xml:space="preserve">Appel à Projets. </w:t>
      </w:r>
    </w:p>
    <w:p w14:paraId="2202807D" w14:textId="598869A1" w:rsidR="00753FC4" w:rsidRPr="001E4413" w:rsidRDefault="00753FC4" w:rsidP="002F7614">
      <w:pPr>
        <w:spacing w:after="120"/>
        <w:rPr>
          <w:rFonts w:ascii="Helvetica" w:hAnsi="Helvetica" w:cs="Helvetica"/>
        </w:rPr>
      </w:pPr>
    </w:p>
    <w:p w14:paraId="5CFF5711" w14:textId="67B5A5F8" w:rsidR="00716A2F" w:rsidRDefault="002B48A0" w:rsidP="001E4413">
      <w:pPr>
        <w:pStyle w:val="Titre3"/>
        <w:spacing w:before="240"/>
      </w:pPr>
      <w:r w:rsidRPr="001E4413">
        <w:t xml:space="preserve">Volet </w:t>
      </w:r>
      <w:r w:rsidR="0088655C" w:rsidRPr="001E4413">
        <w:t>2</w:t>
      </w:r>
      <w:r w:rsidR="00804275" w:rsidRPr="001E4413">
        <w:t xml:space="preserve">. </w:t>
      </w:r>
      <w:r w:rsidR="005F18EB" w:rsidRPr="001E4413">
        <w:t xml:space="preserve">Renforcement du déploiement </w:t>
      </w:r>
      <w:r w:rsidR="00716A2F" w:rsidRPr="001E4413">
        <w:t xml:space="preserve">de </w:t>
      </w:r>
      <w:r w:rsidR="005F18EB" w:rsidRPr="001E4413">
        <w:t xml:space="preserve">la </w:t>
      </w:r>
      <w:r w:rsidR="00716A2F" w:rsidRPr="001E4413">
        <w:t xml:space="preserve">gestion de proximité des </w:t>
      </w:r>
      <w:r w:rsidR="00301C22" w:rsidRPr="001E4413">
        <w:t>biodéchet</w:t>
      </w:r>
      <w:r w:rsidR="00F23E64" w:rsidRPr="001E4413">
        <w:t>s</w:t>
      </w:r>
    </w:p>
    <w:p w14:paraId="56B8D6F1" w14:textId="77777777" w:rsidR="001E4413" w:rsidRPr="001E4413" w:rsidRDefault="001E4413" w:rsidP="001E4413"/>
    <w:p w14:paraId="6C0B7897" w14:textId="2C2563D3" w:rsidR="00C67060" w:rsidRDefault="005F18EB" w:rsidP="00DD756D">
      <w:pPr>
        <w:spacing w:before="80"/>
        <w:rPr>
          <w:rFonts w:ascii="Helvetica" w:hAnsi="Helvetica" w:cs="Helvetica"/>
        </w:rPr>
      </w:pPr>
      <w:r>
        <w:rPr>
          <w:rFonts w:ascii="Helvetica" w:hAnsi="Helvetica" w:cs="Helvetica"/>
        </w:rPr>
        <w:t>L</w:t>
      </w:r>
      <w:r w:rsidR="00193493">
        <w:rPr>
          <w:rFonts w:ascii="Helvetica" w:hAnsi="Helvetica" w:cs="Helvetica"/>
        </w:rPr>
        <w:t>’objectif est</w:t>
      </w:r>
      <w:r w:rsidR="00C67060">
        <w:rPr>
          <w:rFonts w:ascii="Helvetica" w:hAnsi="Helvetica" w:cs="Helvetica"/>
        </w:rPr>
        <w:t> </w:t>
      </w:r>
      <w:r w:rsidR="00C67060">
        <w:t xml:space="preserve">de </w:t>
      </w:r>
      <w:r w:rsidR="00C67060">
        <w:rPr>
          <w:rFonts w:ascii="Helvetica" w:hAnsi="Helvetica" w:cs="Helvetica"/>
        </w:rPr>
        <w:t>r</w:t>
      </w:r>
      <w:r w:rsidR="00C67060">
        <w:t xml:space="preserve">enforcer et d’amplifier le déploiement de la gestion de proximité </w:t>
      </w:r>
      <w:r w:rsidR="00C432EB">
        <w:t>soit</w:t>
      </w:r>
      <w:r w:rsidR="00C67060">
        <w:t xml:space="preserve"> : </w:t>
      </w:r>
    </w:p>
    <w:p w14:paraId="3D706379" w14:textId="25BF3BC8" w:rsidR="0042447E" w:rsidRDefault="00C432EB" w:rsidP="00C432EB">
      <w:pPr>
        <w:pStyle w:val="Paragraphedeliste"/>
        <w:numPr>
          <w:ilvl w:val="0"/>
          <w:numId w:val="24"/>
        </w:numPr>
        <w:ind w:left="714" w:hanging="357"/>
        <w:contextualSpacing w:val="0"/>
      </w:pPr>
      <w:r>
        <w:t>Développer</w:t>
      </w:r>
      <w:r w:rsidR="00C67060">
        <w:t xml:space="preserve"> les différents modes des gestions </w:t>
      </w:r>
      <w:r w:rsidR="005F18EB">
        <w:t xml:space="preserve">de </w:t>
      </w:r>
      <w:r w:rsidR="00332397">
        <w:t>proximité pertinentes</w:t>
      </w:r>
      <w:r w:rsidR="00C0262B">
        <w:t xml:space="preserve"> aux</w:t>
      </w:r>
      <w:r>
        <w:t xml:space="preserve"> spécificités du territoire</w:t>
      </w:r>
      <w:r w:rsidR="001E4413">
        <w:t xml:space="preserve"> </w:t>
      </w:r>
      <w:r w:rsidR="005F18EB">
        <w:t xml:space="preserve">: </w:t>
      </w:r>
      <w:r w:rsidR="00C67060">
        <w:t xml:space="preserve">compostage individuel, de quartier, pied d’immeuble, autonome en </w:t>
      </w:r>
      <w:r w:rsidR="00765B1E">
        <w:t>établissement, ...</w:t>
      </w:r>
      <w:r w:rsidR="00C0262B">
        <w:t xml:space="preserve"> et des acteurs en présence (association de quartier, jardin partagé, …)</w:t>
      </w:r>
      <w:r w:rsidR="001E4413">
        <w:t> ;</w:t>
      </w:r>
    </w:p>
    <w:p w14:paraId="4DC91814" w14:textId="367227C8" w:rsidR="00947C79" w:rsidRPr="00947C79" w:rsidRDefault="00C432EB" w:rsidP="00044280">
      <w:pPr>
        <w:pStyle w:val="Paragraphedeliste"/>
        <w:numPr>
          <w:ilvl w:val="0"/>
          <w:numId w:val="24"/>
        </w:numPr>
        <w:ind w:left="714" w:hanging="357"/>
        <w:contextualSpacing w:val="0"/>
        <w:rPr>
          <w:rFonts w:ascii="Helvetica" w:hAnsi="Helvetica" w:cs="Helvetica"/>
        </w:rPr>
      </w:pPr>
      <w:r>
        <w:t>Mettre en place des dispositifs de mesure de performance</w:t>
      </w:r>
      <w:r w:rsidR="005B3D0B">
        <w:t xml:space="preserve"> : suivi des pratiques, de l’évitement des biodéchets, </w:t>
      </w:r>
      <w:r w:rsidR="00947C79">
        <w:t>autres (émission de gaz à effet de serre, emploi, ...)</w:t>
      </w:r>
      <w:r w:rsidR="001E4413">
        <w:t> ;</w:t>
      </w:r>
    </w:p>
    <w:p w14:paraId="62E76383" w14:textId="3B84B64C" w:rsidR="00C432EB" w:rsidRPr="00947C79" w:rsidRDefault="00C432EB" w:rsidP="00044280">
      <w:pPr>
        <w:pStyle w:val="Paragraphedeliste"/>
        <w:numPr>
          <w:ilvl w:val="0"/>
          <w:numId w:val="24"/>
        </w:numPr>
        <w:ind w:left="714" w:hanging="357"/>
        <w:contextualSpacing w:val="0"/>
        <w:rPr>
          <w:rFonts w:ascii="Helvetica" w:hAnsi="Helvetica" w:cs="Helvetica"/>
        </w:rPr>
      </w:pPr>
      <w:r>
        <w:t>Assur</w:t>
      </w:r>
      <w:r w:rsidR="00C0262B">
        <w:t>er</w:t>
      </w:r>
      <w:r>
        <w:t xml:space="preserve"> la montée en compétence collective autour de la gestion de proximité</w:t>
      </w:r>
      <w:r w:rsidR="001E4413">
        <w:t> ;</w:t>
      </w:r>
    </w:p>
    <w:p w14:paraId="682C22FD" w14:textId="61120DB7" w:rsidR="00C0262B" w:rsidRDefault="00C432EB" w:rsidP="00C0262B">
      <w:pPr>
        <w:pStyle w:val="Paragraphedeliste"/>
        <w:numPr>
          <w:ilvl w:val="0"/>
          <w:numId w:val="24"/>
        </w:numPr>
        <w:ind w:left="714" w:hanging="357"/>
        <w:contextualSpacing w:val="0"/>
      </w:pPr>
      <w:r>
        <w:t>Définir</w:t>
      </w:r>
      <w:r w:rsidR="00280832">
        <w:t xml:space="preserve"> une organisation adéquate entre différents interven</w:t>
      </w:r>
      <w:r w:rsidR="001E4413">
        <w:t>ants (maître-</w:t>
      </w:r>
      <w:r w:rsidR="00280832">
        <w:t xml:space="preserve">composteur, guide </w:t>
      </w:r>
      <w:r w:rsidR="00947C79">
        <w:t>pailleur</w:t>
      </w:r>
      <w:r w:rsidR="00F23E64">
        <w:t>-</w:t>
      </w:r>
      <w:r w:rsidR="001E4413">
        <w:t>composteur, référents</w:t>
      </w:r>
      <w:r w:rsidR="00280832">
        <w:t xml:space="preserve"> de site, </w:t>
      </w:r>
      <w:r w:rsidR="00765B1E">
        <w:t xml:space="preserve">relais, </w:t>
      </w:r>
      <w:r w:rsidR="00280832">
        <w:t xml:space="preserve">usagers, </w:t>
      </w:r>
      <w:r w:rsidR="00765B1E">
        <w:t>professionnels…</w:t>
      </w:r>
      <w:r w:rsidR="00280832">
        <w:t xml:space="preserve">) pour le retournement, la tenue d’un registre de suivi, l’apport en broyat, </w:t>
      </w:r>
      <w:r w:rsidR="00765B1E">
        <w:t>l’</w:t>
      </w:r>
      <w:r w:rsidR="00280832">
        <w:t>intervention en cas de dysfonctionnement, bilan annuel, …</w:t>
      </w:r>
      <w:r w:rsidR="001E4413">
        <w:t> ;</w:t>
      </w:r>
    </w:p>
    <w:p w14:paraId="4EFD4C7C" w14:textId="6E3CEFD1" w:rsidR="00280832" w:rsidRDefault="00C0262B" w:rsidP="00C0262B">
      <w:pPr>
        <w:pStyle w:val="Paragraphedeliste"/>
        <w:numPr>
          <w:ilvl w:val="0"/>
          <w:numId w:val="24"/>
        </w:numPr>
        <w:ind w:left="714" w:hanging="357"/>
        <w:contextualSpacing w:val="0"/>
      </w:pPr>
      <w:r>
        <w:t>Aboutir à des opérations performantes de détournement des biodéchets (déchets alimentaires et déchets verts) intégrés au service public prévention de gestion des déchets</w:t>
      </w:r>
      <w:r w:rsidR="001E4413">
        <w:t> ;</w:t>
      </w:r>
    </w:p>
    <w:p w14:paraId="7A365F35" w14:textId="24834E6E" w:rsidR="004F7F2C" w:rsidRPr="00466737" w:rsidRDefault="007E2A14" w:rsidP="004F7F2C">
      <w:pPr>
        <w:pStyle w:val="Paragraphedeliste"/>
        <w:numPr>
          <w:ilvl w:val="0"/>
          <w:numId w:val="24"/>
        </w:numPr>
        <w:ind w:left="714" w:hanging="357"/>
        <w:contextualSpacing w:val="0"/>
      </w:pPr>
      <w:r w:rsidRPr="00FD0858">
        <w:t xml:space="preserve">Mettre en place </w:t>
      </w:r>
      <w:r w:rsidR="004F7F2C" w:rsidRPr="00FD0858">
        <w:t>une animation sur le territoire.</w:t>
      </w:r>
      <w:r w:rsidRPr="00FD0858">
        <w:t xml:space="preserve"> </w:t>
      </w:r>
      <w:r w:rsidR="004F7F2C" w:rsidRPr="00FD0858">
        <w:rPr>
          <w:rFonts w:eastAsia="Times New Roman" w:cs="Arial"/>
          <w:szCs w:val="20"/>
          <w:lang w:eastAsia="ar-SA"/>
        </w:rPr>
        <w:t xml:space="preserve">L’accompagnement des ménages et des opérateurs grâce à des relais de terrain est incontournable. Des référentiels et dispositifs de formation existent : </w:t>
      </w:r>
      <w:hyperlink r:id="rId18" w:history="1">
        <w:r w:rsidR="004F7F2C" w:rsidRPr="00FD0858">
          <w:rPr>
            <w:rFonts w:eastAsia="Times New Roman" w:cs="Arial"/>
            <w:szCs w:val="20"/>
            <w:u w:val="single"/>
            <w:lang w:eastAsia="ar-SA"/>
          </w:rPr>
          <w:t>les référentiels acteurs formation de l'ADEME</w:t>
        </w:r>
      </w:hyperlink>
      <w:r w:rsidR="004F7F2C" w:rsidRPr="00FD0858">
        <w:rPr>
          <w:rFonts w:eastAsia="Times New Roman" w:cs="Arial"/>
          <w:szCs w:val="20"/>
          <w:lang w:eastAsia="ar-SA"/>
        </w:rPr>
        <w:t>.</w:t>
      </w:r>
    </w:p>
    <w:p w14:paraId="5C648D87" w14:textId="77777777" w:rsidR="00466737" w:rsidRPr="00FD0858" w:rsidRDefault="00466737" w:rsidP="00466737">
      <w:pPr>
        <w:pStyle w:val="Paragraphedeliste"/>
        <w:ind w:left="714"/>
        <w:contextualSpacing w:val="0"/>
      </w:pPr>
    </w:p>
    <w:p w14:paraId="181C7154" w14:textId="1D4C024D" w:rsidR="00AE0B5A" w:rsidRDefault="004C12F9" w:rsidP="00C432EB">
      <w:pPr>
        <w:rPr>
          <w:rFonts w:ascii="Helvetica" w:hAnsi="Helvetica" w:cs="Helvetica"/>
        </w:rPr>
      </w:pPr>
      <w:r w:rsidRPr="0042447E">
        <w:rPr>
          <w:rFonts w:ascii="Helvetica" w:hAnsi="Helvetica" w:cs="Helvetica"/>
          <w:b/>
        </w:rPr>
        <w:t>D</w:t>
      </w:r>
      <w:r w:rsidR="004A338A" w:rsidRPr="0042447E">
        <w:rPr>
          <w:rFonts w:ascii="Helvetica" w:hAnsi="Helvetica" w:cs="Helvetica"/>
          <w:b/>
        </w:rPr>
        <w:t xml:space="preserve">es programmes </w:t>
      </w:r>
      <w:r w:rsidRPr="0042447E">
        <w:rPr>
          <w:rFonts w:ascii="Helvetica" w:hAnsi="Helvetica" w:cs="Helvetica"/>
          <w:b/>
        </w:rPr>
        <w:t>de développement de gestion de proximité</w:t>
      </w:r>
      <w:r w:rsidR="00FE7F3A">
        <w:rPr>
          <w:rFonts w:ascii="Helvetica" w:hAnsi="Helvetica" w:cs="Helvetica"/>
          <w:b/>
        </w:rPr>
        <w:t xml:space="preserve"> des biodéchets (déchets alimentaires et déchets verts)</w:t>
      </w:r>
      <w:r>
        <w:rPr>
          <w:rFonts w:ascii="Helvetica" w:hAnsi="Helvetica" w:cs="Helvetica"/>
        </w:rPr>
        <w:t xml:space="preserve"> </w:t>
      </w:r>
      <w:r w:rsidR="004A338A" w:rsidRPr="004A338A">
        <w:rPr>
          <w:rFonts w:ascii="Helvetica" w:hAnsi="Helvetica" w:cs="Helvetica"/>
        </w:rPr>
        <w:t>devront s’appuyer sur</w:t>
      </w:r>
      <w:r w:rsidR="00A47730">
        <w:rPr>
          <w:rFonts w:ascii="Helvetica" w:hAnsi="Helvetica" w:cs="Helvetica"/>
        </w:rPr>
        <w:t xml:space="preserve"> </w:t>
      </w:r>
      <w:r w:rsidR="004A338A" w:rsidRPr="004A338A">
        <w:rPr>
          <w:rFonts w:ascii="Helvetica" w:hAnsi="Helvetica" w:cs="Helvetica"/>
        </w:rPr>
        <w:t xml:space="preserve">les conclusions d’un schéma territorial de tri à la source des biodéchets ou </w:t>
      </w:r>
      <w:r w:rsidR="00223151">
        <w:rPr>
          <w:rFonts w:ascii="Helvetica" w:hAnsi="Helvetica" w:cs="Helvetica"/>
        </w:rPr>
        <w:t>un</w:t>
      </w:r>
      <w:r w:rsidR="004A338A" w:rsidRPr="004A338A">
        <w:rPr>
          <w:rFonts w:ascii="Helvetica" w:hAnsi="Helvetica" w:cs="Helvetica"/>
        </w:rPr>
        <w:t xml:space="preserve"> diagnostic approfondi du territoire démontrant la pertinence </w:t>
      </w:r>
      <w:r w:rsidR="00B330BB">
        <w:rPr>
          <w:rFonts w:ascii="Helvetica" w:hAnsi="Helvetica" w:cs="Helvetica"/>
        </w:rPr>
        <w:t xml:space="preserve">des modes de gestion de proximité </w:t>
      </w:r>
      <w:r w:rsidR="004A338A" w:rsidRPr="004A338A">
        <w:rPr>
          <w:rFonts w:ascii="Helvetica" w:hAnsi="Helvetica" w:cs="Helvetica"/>
        </w:rPr>
        <w:t>et l’ambition du</w:t>
      </w:r>
      <w:r w:rsidR="00A47730">
        <w:rPr>
          <w:rFonts w:ascii="Helvetica" w:hAnsi="Helvetica" w:cs="Helvetica"/>
        </w:rPr>
        <w:t xml:space="preserve"> </w:t>
      </w:r>
      <w:r w:rsidR="004A338A" w:rsidRPr="004A338A">
        <w:rPr>
          <w:rFonts w:ascii="Helvetica" w:hAnsi="Helvetica" w:cs="Helvetica"/>
        </w:rPr>
        <w:t>programme proposé pour le territoire.</w:t>
      </w:r>
      <w:r w:rsidR="00A47730">
        <w:rPr>
          <w:rFonts w:ascii="Helvetica" w:hAnsi="Helvetica" w:cs="Helvetica"/>
        </w:rPr>
        <w:t xml:space="preserve"> </w:t>
      </w:r>
    </w:p>
    <w:p w14:paraId="57129770" w14:textId="5B69B4B4" w:rsidR="001F1C5E" w:rsidRDefault="00F12143" w:rsidP="00C432EB">
      <w:pPr>
        <w:rPr>
          <w:rFonts w:ascii="Helvetica" w:hAnsi="Helvetica" w:cs="Helvetica"/>
        </w:rPr>
      </w:pPr>
      <w:r>
        <w:rPr>
          <w:rFonts w:ascii="Helvetica" w:hAnsi="Helvetica" w:cs="Helvetica"/>
        </w:rPr>
        <w:lastRenderedPageBreak/>
        <w:t>Il</w:t>
      </w:r>
      <w:r w:rsidR="004A338A" w:rsidRPr="004A338A">
        <w:rPr>
          <w:rFonts w:ascii="Helvetica" w:hAnsi="Helvetica" w:cs="Helvetica"/>
        </w:rPr>
        <w:t xml:space="preserve"> devra s’inscrire dans le temps </w:t>
      </w:r>
      <w:r w:rsidR="00B330BB">
        <w:rPr>
          <w:rFonts w:ascii="Helvetica" w:hAnsi="Helvetica" w:cs="Helvetica"/>
        </w:rPr>
        <w:t xml:space="preserve">(3 ans max) </w:t>
      </w:r>
      <w:r w:rsidR="004A338A" w:rsidRPr="004A338A">
        <w:rPr>
          <w:rFonts w:ascii="Helvetica" w:hAnsi="Helvetica" w:cs="Helvetica"/>
        </w:rPr>
        <w:t>et présenter un plan de mise</w:t>
      </w:r>
      <w:r w:rsidR="006729A7">
        <w:rPr>
          <w:rFonts w:ascii="Helvetica" w:hAnsi="Helvetica" w:cs="Helvetica"/>
        </w:rPr>
        <w:t xml:space="preserve"> </w:t>
      </w:r>
      <w:r w:rsidR="004A338A" w:rsidRPr="004A338A">
        <w:rPr>
          <w:rFonts w:ascii="Helvetica" w:hAnsi="Helvetica" w:cs="Helvetica"/>
        </w:rPr>
        <w:t xml:space="preserve">en </w:t>
      </w:r>
      <w:r w:rsidR="00DA682D" w:rsidRPr="004A338A">
        <w:rPr>
          <w:rFonts w:ascii="Helvetica" w:hAnsi="Helvetica" w:cs="Helvetica"/>
        </w:rPr>
        <w:t>œuvre</w:t>
      </w:r>
      <w:r w:rsidR="004A338A" w:rsidRPr="004A338A">
        <w:rPr>
          <w:rFonts w:ascii="Helvetica" w:hAnsi="Helvetica" w:cs="Helvetica"/>
        </w:rPr>
        <w:t xml:space="preserve"> pluriannu</w:t>
      </w:r>
      <w:r w:rsidR="00B330BB">
        <w:rPr>
          <w:rFonts w:ascii="Helvetica" w:hAnsi="Helvetica" w:cs="Helvetica"/>
        </w:rPr>
        <w:t xml:space="preserve">el en spécifiant </w:t>
      </w:r>
      <w:r w:rsidR="004A338A" w:rsidRPr="004A338A">
        <w:rPr>
          <w:rFonts w:ascii="Helvetica" w:hAnsi="Helvetica" w:cs="Helvetica"/>
        </w:rPr>
        <w:t xml:space="preserve">les moyens </w:t>
      </w:r>
      <w:r>
        <w:rPr>
          <w:rFonts w:ascii="Helvetica" w:hAnsi="Helvetica" w:cs="Helvetica"/>
        </w:rPr>
        <w:t>retenus</w:t>
      </w:r>
      <w:r w:rsidR="004A338A" w:rsidRPr="004A338A">
        <w:rPr>
          <w:rFonts w:ascii="Helvetica" w:hAnsi="Helvetica" w:cs="Helvetica"/>
        </w:rPr>
        <w:t xml:space="preserve"> pour </w:t>
      </w:r>
      <w:r w:rsidR="00B330BB">
        <w:rPr>
          <w:rFonts w:ascii="Helvetica" w:hAnsi="Helvetica" w:cs="Helvetica"/>
        </w:rPr>
        <w:t xml:space="preserve">animer et </w:t>
      </w:r>
      <w:r w:rsidR="004A338A" w:rsidRPr="004A338A">
        <w:rPr>
          <w:rFonts w:ascii="Helvetica" w:hAnsi="Helvetica" w:cs="Helvetica"/>
        </w:rPr>
        <w:t>suivre le projet</w:t>
      </w:r>
      <w:r w:rsidR="006729A7">
        <w:rPr>
          <w:rFonts w:ascii="Helvetica" w:hAnsi="Helvetica" w:cs="Helvetica"/>
        </w:rPr>
        <w:t xml:space="preserve"> </w:t>
      </w:r>
      <w:r w:rsidR="004A338A" w:rsidRPr="004A338A">
        <w:rPr>
          <w:rFonts w:ascii="Helvetica" w:hAnsi="Helvetica" w:cs="Helvetica"/>
        </w:rPr>
        <w:t>dans le temps (humains, matériels, communication…).</w:t>
      </w:r>
      <w:r w:rsidR="00B330BB">
        <w:rPr>
          <w:rFonts w:ascii="Helvetica" w:hAnsi="Helvetica" w:cs="Helvetica"/>
        </w:rPr>
        <w:t xml:space="preserve"> </w:t>
      </w:r>
      <w:r w:rsidR="001F1C5E">
        <w:rPr>
          <w:rFonts w:ascii="Helvetica" w:hAnsi="Helvetica" w:cs="Helvetica"/>
        </w:rPr>
        <w:t xml:space="preserve"> Les projets présentés en complémen</w:t>
      </w:r>
      <w:r w:rsidR="00AE0B5A">
        <w:rPr>
          <w:rFonts w:ascii="Helvetica" w:hAnsi="Helvetica" w:cs="Helvetica"/>
        </w:rPr>
        <w:t>t ou non d’une collecte séparée</w:t>
      </w:r>
      <w:r w:rsidR="001F1C5E">
        <w:rPr>
          <w:rFonts w:ascii="Helvetica" w:hAnsi="Helvetica" w:cs="Helvetica"/>
        </w:rPr>
        <w:t>, doivent viser la généralisation du tri à la source des biodéchets sur le territoire.</w:t>
      </w:r>
    </w:p>
    <w:p w14:paraId="425A2758" w14:textId="77777777" w:rsidR="00466737" w:rsidRDefault="00466737" w:rsidP="00C432EB">
      <w:pPr>
        <w:rPr>
          <w:rFonts w:ascii="Helvetica" w:hAnsi="Helvetica" w:cs="Helvetica"/>
        </w:rPr>
      </w:pPr>
    </w:p>
    <w:p w14:paraId="18301D93" w14:textId="2700E21F" w:rsidR="00F12143" w:rsidRDefault="00F12143" w:rsidP="00C432EB">
      <w:pPr>
        <w:rPr>
          <w:rFonts w:ascii="Helvetica" w:hAnsi="Helvetica" w:cs="Helvetica"/>
        </w:rPr>
      </w:pPr>
      <w:r w:rsidRPr="00C0262B">
        <w:rPr>
          <w:rFonts w:ascii="Helvetica" w:hAnsi="Helvetica" w:cs="Helvetica"/>
          <w:b/>
        </w:rPr>
        <w:t>Ce programme</w:t>
      </w:r>
      <w:r>
        <w:rPr>
          <w:rFonts w:ascii="Helvetica" w:hAnsi="Helvetica" w:cs="Helvetica"/>
        </w:rPr>
        <w:t xml:space="preserve"> </w:t>
      </w:r>
      <w:r w:rsidR="00C0262B" w:rsidRPr="00C0262B">
        <w:rPr>
          <w:rFonts w:ascii="Helvetica" w:hAnsi="Helvetica" w:cs="Helvetica"/>
          <w:b/>
        </w:rPr>
        <w:t>devra aborder</w:t>
      </w:r>
      <w:r w:rsidRPr="00C0262B">
        <w:rPr>
          <w:rFonts w:ascii="Helvetica" w:hAnsi="Helvetica" w:cs="Helvetica"/>
          <w:b/>
        </w:rPr>
        <w:t xml:space="preserve"> des actions à destination des déchets alimentaires et des </w:t>
      </w:r>
      <w:r w:rsidR="00917767">
        <w:rPr>
          <w:rFonts w:ascii="Helvetica" w:hAnsi="Helvetica" w:cs="Helvetica"/>
          <w:b/>
        </w:rPr>
        <w:t>végétaux</w:t>
      </w:r>
      <w:r>
        <w:rPr>
          <w:rFonts w:ascii="Helvetica" w:hAnsi="Helvetica" w:cs="Helvetica"/>
        </w:rPr>
        <w:t> : compostage de proximité, utilisation de broyat, …</w:t>
      </w:r>
      <w:r w:rsidR="00AE0B5A">
        <w:rPr>
          <w:rFonts w:ascii="Helvetica" w:hAnsi="Helvetica" w:cs="Helvetica"/>
        </w:rPr>
        <w:t xml:space="preserve"> </w:t>
      </w:r>
      <w:r w:rsidR="002F7614">
        <w:rPr>
          <w:rFonts w:ascii="Helvetica" w:hAnsi="Helvetica" w:cs="Helvetica"/>
        </w:rPr>
        <w:t>Il</w:t>
      </w:r>
      <w:r>
        <w:rPr>
          <w:rFonts w:ascii="Helvetica" w:hAnsi="Helvetica" w:cs="Helvetica"/>
        </w:rPr>
        <w:t xml:space="preserve"> contribuera au détournement des déchets verts de la collecte (déchèterie et porte à porte) par l’utilisation de broyat nécessaire au compostage de proximité et </w:t>
      </w:r>
      <w:r w:rsidR="00FE7F3A">
        <w:rPr>
          <w:rFonts w:ascii="Helvetica" w:hAnsi="Helvetica" w:cs="Helvetica"/>
        </w:rPr>
        <w:t>par d’</w:t>
      </w:r>
      <w:r>
        <w:rPr>
          <w:rFonts w:ascii="Helvetica" w:hAnsi="Helvetica" w:cs="Helvetica"/>
        </w:rPr>
        <w:t>autres actions de prévention des déchets verts.</w:t>
      </w:r>
    </w:p>
    <w:p w14:paraId="679182F2" w14:textId="77777777" w:rsidR="00466737" w:rsidRDefault="00466737" w:rsidP="00C432EB">
      <w:pPr>
        <w:rPr>
          <w:rFonts w:ascii="Helvetica" w:hAnsi="Helvetica" w:cs="Helvetica"/>
        </w:rPr>
      </w:pPr>
    </w:p>
    <w:p w14:paraId="36B56640" w14:textId="7D06B72B" w:rsidR="004A338A" w:rsidRPr="0086386C" w:rsidRDefault="00F23E64" w:rsidP="00C432EB">
      <w:pPr>
        <w:rPr>
          <w:rFonts w:ascii="Helvetica" w:hAnsi="Helvetica" w:cs="Helvetica"/>
        </w:rPr>
      </w:pPr>
      <w:r>
        <w:rPr>
          <w:rFonts w:ascii="Helvetica" w:hAnsi="Helvetica" w:cs="Helvetica"/>
        </w:rPr>
        <w:t xml:space="preserve">NB : l’équipement des </w:t>
      </w:r>
      <w:r w:rsidR="004A338A" w:rsidRPr="006729A7">
        <w:rPr>
          <w:rFonts w:ascii="Helvetica" w:hAnsi="Helvetica" w:cs="Helvetica"/>
        </w:rPr>
        <w:t>composteurs domestiques à usage individuel n’est pas éligible</w:t>
      </w:r>
      <w:r w:rsidR="00917767">
        <w:rPr>
          <w:rFonts w:ascii="Helvetica" w:hAnsi="Helvetica" w:cs="Helvetica"/>
        </w:rPr>
        <w:t xml:space="preserve"> aux aides de l’ADEME</w:t>
      </w:r>
      <w:r w:rsidR="009518C7">
        <w:rPr>
          <w:rFonts w:ascii="Helvetica" w:hAnsi="Helvetica" w:cs="Helvetica"/>
        </w:rPr>
        <w:t xml:space="preserve"> </w:t>
      </w:r>
      <w:r w:rsidR="009518C7" w:rsidRPr="0086386C">
        <w:rPr>
          <w:rFonts w:ascii="Helvetica" w:hAnsi="Helvetica" w:cs="Helvetica"/>
        </w:rPr>
        <w:t xml:space="preserve">néanmoins, ces équipements pourront </w:t>
      </w:r>
      <w:r w:rsidR="00AE0B5A">
        <w:rPr>
          <w:rFonts w:ascii="Helvetica" w:hAnsi="Helvetica" w:cs="Helvetica"/>
        </w:rPr>
        <w:t>apparaî</w:t>
      </w:r>
      <w:r w:rsidR="00917767" w:rsidRPr="0086386C">
        <w:rPr>
          <w:rFonts w:ascii="Helvetica" w:hAnsi="Helvetica" w:cs="Helvetica"/>
        </w:rPr>
        <w:t>tre dans le</w:t>
      </w:r>
      <w:r w:rsidR="00DA682D" w:rsidRPr="0086386C">
        <w:rPr>
          <w:rFonts w:ascii="Helvetica" w:hAnsi="Helvetica" w:cs="Helvetica"/>
        </w:rPr>
        <w:t xml:space="preserve"> programme des opérations de gestion de proximité</w:t>
      </w:r>
    </w:p>
    <w:p w14:paraId="2FBA9D87" w14:textId="556A338D" w:rsidR="004F4AA4" w:rsidRDefault="00F20135" w:rsidP="004F4AA4">
      <w:pPr>
        <w:rPr>
          <w:rFonts w:cs="Arial"/>
          <w:szCs w:val="20"/>
        </w:rPr>
      </w:pPr>
      <w:r w:rsidRPr="0086386C">
        <w:rPr>
          <w:rFonts w:cs="Arial"/>
          <w:szCs w:val="20"/>
        </w:rPr>
        <w:t xml:space="preserve">D’autre part, </w:t>
      </w:r>
      <w:r w:rsidR="004F4AA4">
        <w:rPr>
          <w:rFonts w:cs="Arial"/>
          <w:szCs w:val="20"/>
        </w:rPr>
        <w:t xml:space="preserve">la promotion de la gestion des biodéchets par l’alimentation animale </w:t>
      </w:r>
      <w:r w:rsidR="004F4AA4" w:rsidRPr="00FA7AB3">
        <w:rPr>
          <w:rFonts w:cs="Arial"/>
          <w:szCs w:val="20"/>
        </w:rPr>
        <w:t xml:space="preserve">et </w:t>
      </w:r>
      <w:r w:rsidR="004F4AA4">
        <w:rPr>
          <w:rFonts w:cs="Arial"/>
          <w:szCs w:val="20"/>
        </w:rPr>
        <w:t xml:space="preserve">les </w:t>
      </w:r>
      <w:r w:rsidR="004F4AA4" w:rsidRPr="00FA7AB3">
        <w:rPr>
          <w:rFonts w:cs="Arial"/>
          <w:szCs w:val="20"/>
        </w:rPr>
        <w:t>investissements liés</w:t>
      </w:r>
      <w:r w:rsidR="004F4AA4">
        <w:rPr>
          <w:rFonts w:cs="Arial"/>
          <w:szCs w:val="20"/>
        </w:rPr>
        <w:t xml:space="preserve"> ne sont également pas éligibles à un soutien financier de l’ADEME.</w:t>
      </w:r>
    </w:p>
    <w:p w14:paraId="253A05C2" w14:textId="77777777" w:rsidR="004F4AA4" w:rsidRDefault="004F4AA4" w:rsidP="004F4AA4">
      <w:pPr>
        <w:rPr>
          <w:rFonts w:cs="Arial"/>
          <w:szCs w:val="20"/>
        </w:rPr>
      </w:pPr>
    </w:p>
    <w:p w14:paraId="1B6BA391" w14:textId="77777777" w:rsidR="004F7F2C" w:rsidRPr="004F7F2C" w:rsidRDefault="004F7F2C" w:rsidP="004F7F2C">
      <w:pPr>
        <w:suppressAutoHyphens/>
        <w:spacing w:before="0"/>
        <w:rPr>
          <w:rFonts w:eastAsia="Times New Roman" w:cs="Arial"/>
          <w:szCs w:val="20"/>
          <w:lang w:eastAsia="ar-SA"/>
        </w:rPr>
      </w:pPr>
    </w:p>
    <w:p w14:paraId="658C8D57" w14:textId="4FE4D5B1" w:rsidR="00952AC9" w:rsidRDefault="002B48A0" w:rsidP="00AE0B5A">
      <w:pPr>
        <w:pStyle w:val="Titre3"/>
        <w:spacing w:before="240"/>
      </w:pPr>
      <w:r w:rsidRPr="00C432EB">
        <w:t xml:space="preserve">Volet </w:t>
      </w:r>
      <w:r w:rsidR="00DB6C8C">
        <w:t>3</w:t>
      </w:r>
      <w:r w:rsidR="00804275" w:rsidRPr="00C432EB">
        <w:t xml:space="preserve">. </w:t>
      </w:r>
      <w:r w:rsidR="007C5DF3" w:rsidRPr="00C432EB">
        <w:t xml:space="preserve">Mise en place de la </w:t>
      </w:r>
      <w:r w:rsidR="004F4AA4">
        <w:t>collecte séparée des biodéchets</w:t>
      </w:r>
    </w:p>
    <w:p w14:paraId="18E6BA65" w14:textId="77777777" w:rsidR="00AE0B5A" w:rsidRPr="00AE0B5A" w:rsidRDefault="00AE0B5A" w:rsidP="00AE0B5A"/>
    <w:p w14:paraId="4CC73660" w14:textId="22A9A5C6" w:rsidR="00CF320B" w:rsidRDefault="00C65300" w:rsidP="00DD756D">
      <w:pPr>
        <w:rPr>
          <w:rFonts w:cs="Arial"/>
          <w:szCs w:val="20"/>
        </w:rPr>
      </w:pPr>
      <w:r>
        <w:t xml:space="preserve">Il est préconisé aux </w:t>
      </w:r>
      <w:r w:rsidR="00CF320B">
        <w:t xml:space="preserve">collectivités </w:t>
      </w:r>
      <w:r>
        <w:t>d’</w:t>
      </w:r>
      <w:r w:rsidR="00CF320B">
        <w:t xml:space="preserve">expérimenter la collecte séparée des biodéchets pour </w:t>
      </w:r>
      <w:r>
        <w:t>pouvoir,</w:t>
      </w:r>
      <w:r w:rsidR="00CF320B">
        <w:t xml:space="preserve"> </w:t>
      </w:r>
      <w:r>
        <w:t xml:space="preserve">par la suite, </w:t>
      </w:r>
      <w:r w:rsidR="00340F7C">
        <w:t>l’étendre </w:t>
      </w:r>
      <w:r w:rsidR="00CF320B">
        <w:t xml:space="preserve">au périmètre adéquate de son territoire. </w:t>
      </w:r>
      <w:r w:rsidR="00BB66EE">
        <w:t xml:space="preserve">Les récents retours d’expérience montrent ainsi que </w:t>
      </w:r>
      <w:r w:rsidR="00BB66EE" w:rsidRPr="00BB66EE">
        <w:rPr>
          <w:b/>
        </w:rPr>
        <w:t>l</w:t>
      </w:r>
      <w:r w:rsidR="00BB66EE" w:rsidRPr="00BB66EE">
        <w:rPr>
          <w:rFonts w:cs="Arial"/>
          <w:b/>
          <w:szCs w:val="20"/>
        </w:rPr>
        <w:t xml:space="preserve">a réussite </w:t>
      </w:r>
      <w:r>
        <w:rPr>
          <w:rFonts w:cs="Arial"/>
          <w:b/>
          <w:szCs w:val="20"/>
        </w:rPr>
        <w:t xml:space="preserve">de la collecte séparée des biodéchets </w:t>
      </w:r>
      <w:r w:rsidR="00BB66EE" w:rsidRPr="00BB66EE">
        <w:rPr>
          <w:rFonts w:cs="Arial"/>
          <w:b/>
          <w:szCs w:val="20"/>
        </w:rPr>
        <w:t>dépend de sa bonne intégration dans le service public gestion des déchets ménagers</w:t>
      </w:r>
      <w:r w:rsidR="0095163F">
        <w:rPr>
          <w:rFonts w:cs="Arial"/>
          <w:szCs w:val="20"/>
        </w:rPr>
        <w:t xml:space="preserve"> : </w:t>
      </w:r>
      <w:r w:rsidR="00690A7F">
        <w:rPr>
          <w:rFonts w:cs="Arial"/>
          <w:szCs w:val="20"/>
        </w:rPr>
        <w:t xml:space="preserve">mise en place </w:t>
      </w:r>
      <w:r w:rsidR="00BB66EE" w:rsidRPr="00B12BEE">
        <w:rPr>
          <w:rFonts w:cs="Arial"/>
          <w:szCs w:val="20"/>
        </w:rPr>
        <w:t>d’une col</w:t>
      </w:r>
      <w:r w:rsidR="0095163F">
        <w:rPr>
          <w:rFonts w:cs="Arial"/>
          <w:szCs w:val="20"/>
        </w:rPr>
        <w:t>lecte biodéchet</w:t>
      </w:r>
      <w:r w:rsidR="00FE7F3A">
        <w:rPr>
          <w:rFonts w:cs="Arial"/>
          <w:szCs w:val="20"/>
        </w:rPr>
        <w:t>s</w:t>
      </w:r>
      <w:r w:rsidR="0095163F">
        <w:rPr>
          <w:rFonts w:cs="Arial"/>
          <w:szCs w:val="20"/>
        </w:rPr>
        <w:t xml:space="preserve"> </w:t>
      </w:r>
      <w:r w:rsidR="00690A7F">
        <w:rPr>
          <w:rFonts w:cs="Arial"/>
          <w:szCs w:val="20"/>
        </w:rPr>
        <w:t xml:space="preserve">en substitution </w:t>
      </w:r>
      <w:r w:rsidR="00BB66EE" w:rsidRPr="00B12BEE">
        <w:rPr>
          <w:rFonts w:cs="Arial"/>
          <w:szCs w:val="20"/>
        </w:rPr>
        <w:t>d’une collect</w:t>
      </w:r>
      <w:r w:rsidR="00AE0B5A">
        <w:rPr>
          <w:rFonts w:cs="Arial"/>
          <w:szCs w:val="20"/>
        </w:rPr>
        <w:t>e OMR</w:t>
      </w:r>
      <w:r w:rsidR="00BB66EE" w:rsidRPr="00B12BEE">
        <w:rPr>
          <w:rFonts w:cs="Arial"/>
          <w:szCs w:val="20"/>
        </w:rPr>
        <w:t xml:space="preserve">, mise en </w:t>
      </w:r>
      <w:r w:rsidR="0095163F" w:rsidRPr="00B12BEE">
        <w:rPr>
          <w:rFonts w:cs="Arial"/>
          <w:szCs w:val="20"/>
        </w:rPr>
        <w:t>œuvre</w:t>
      </w:r>
      <w:r w:rsidR="00BB66EE" w:rsidRPr="00B12BEE">
        <w:rPr>
          <w:rFonts w:cs="Arial"/>
          <w:szCs w:val="20"/>
        </w:rPr>
        <w:t xml:space="preserve"> d’une tarification incitative </w:t>
      </w:r>
      <w:r w:rsidR="00BB66EE">
        <w:rPr>
          <w:rFonts w:cs="Arial"/>
          <w:szCs w:val="20"/>
        </w:rPr>
        <w:t xml:space="preserve">augmentant la </w:t>
      </w:r>
      <w:r w:rsidR="00BB66EE" w:rsidRPr="00B12BEE">
        <w:rPr>
          <w:rFonts w:cs="Arial"/>
          <w:szCs w:val="20"/>
        </w:rPr>
        <w:t>performance</w:t>
      </w:r>
      <w:r w:rsidR="00BB66EE">
        <w:rPr>
          <w:rFonts w:cs="Arial"/>
          <w:szCs w:val="20"/>
        </w:rPr>
        <w:t xml:space="preserve"> de captage des biodéchets</w:t>
      </w:r>
      <w:r w:rsidR="00BB66EE" w:rsidRPr="00B12BEE">
        <w:rPr>
          <w:rFonts w:cs="Arial"/>
          <w:szCs w:val="20"/>
        </w:rPr>
        <w:t xml:space="preserve">, </w:t>
      </w:r>
      <w:r>
        <w:rPr>
          <w:rFonts w:cs="Arial"/>
          <w:szCs w:val="20"/>
        </w:rPr>
        <w:t xml:space="preserve">mixité de solutions, </w:t>
      </w:r>
      <w:r w:rsidR="00BB66EE" w:rsidRPr="00B12BEE">
        <w:rPr>
          <w:rFonts w:cs="Arial"/>
          <w:szCs w:val="20"/>
        </w:rPr>
        <w:t>….</w:t>
      </w:r>
    </w:p>
    <w:p w14:paraId="0BE5EC71" w14:textId="2B026B25" w:rsidR="00BB66EE" w:rsidRDefault="00BB66EE" w:rsidP="00DD756D">
      <w:r>
        <w:t>La collecte de biodéchet</w:t>
      </w:r>
      <w:r w:rsidR="00947C79">
        <w:t>s</w:t>
      </w:r>
      <w:r>
        <w:t xml:space="preserve"> ne constitue qu’un maillon de la production de compost pour le retour au sol. </w:t>
      </w:r>
      <w:r w:rsidRPr="00991E86">
        <w:rPr>
          <w:b/>
        </w:rPr>
        <w:t>La recherche d’unité</w:t>
      </w:r>
      <w:r w:rsidR="0095163F">
        <w:rPr>
          <w:b/>
        </w:rPr>
        <w:t>s</w:t>
      </w:r>
      <w:r w:rsidRPr="00991E86">
        <w:rPr>
          <w:b/>
        </w:rPr>
        <w:t xml:space="preserve"> de valorisation dotée d’un agrément sanitaire </w:t>
      </w:r>
      <w:r w:rsidR="00991E86" w:rsidRPr="00991E86">
        <w:rPr>
          <w:b/>
        </w:rPr>
        <w:t xml:space="preserve">et de débouchés pour l’amendement organique </w:t>
      </w:r>
      <w:r w:rsidR="0095163F">
        <w:rPr>
          <w:b/>
        </w:rPr>
        <w:t xml:space="preserve">ou énergétiques </w:t>
      </w:r>
      <w:r w:rsidR="00991E86" w:rsidRPr="00991E86">
        <w:rPr>
          <w:b/>
        </w:rPr>
        <w:t>seront</w:t>
      </w:r>
      <w:r w:rsidRPr="00991E86">
        <w:rPr>
          <w:b/>
        </w:rPr>
        <w:t xml:space="preserve"> essentiel</w:t>
      </w:r>
      <w:r w:rsidR="00991E86" w:rsidRPr="00991E86">
        <w:rPr>
          <w:b/>
        </w:rPr>
        <w:t>s</w:t>
      </w:r>
      <w:r w:rsidR="00991E86">
        <w:t xml:space="preserve">. </w:t>
      </w:r>
      <w:r w:rsidR="0095163F">
        <w:t>Pour qu’une filière de valorisation puisse s’établir, il sera nécessaire de connaitre</w:t>
      </w:r>
      <w:r w:rsidR="00991E86">
        <w:t xml:space="preserve"> </w:t>
      </w:r>
      <w:r w:rsidR="0095163F">
        <w:t>les besoins agronomiques du sol (ou énergétiques), d’en définir la qualité d’</w:t>
      </w:r>
      <w:r w:rsidR="00991E86">
        <w:t xml:space="preserve">amendement </w:t>
      </w:r>
      <w:r w:rsidR="0095163F">
        <w:t>organique correspondantes et un dispositif de tri à la source</w:t>
      </w:r>
      <w:r w:rsidR="006D57CA">
        <w:t xml:space="preserve"> biodéchets</w:t>
      </w:r>
      <w:r w:rsidR="0095163F">
        <w:t xml:space="preserve"> avec des consignes adaptées</w:t>
      </w:r>
      <w:r w:rsidR="006D57CA">
        <w:t>.</w:t>
      </w:r>
      <w:r w:rsidR="00C65300">
        <w:t xml:space="preserve"> Une chaine de partenariats sera à établir de la collecte de biodéchets, unité de valorisation, utilisation (</w:t>
      </w:r>
      <w:r w:rsidR="0095163F">
        <w:t>secteur agricole</w:t>
      </w:r>
      <w:r w:rsidR="00C65300">
        <w:t>, …)</w:t>
      </w:r>
      <w:r w:rsidR="0095163F">
        <w:t>.</w:t>
      </w:r>
      <w:r>
        <w:t xml:space="preserve"> </w:t>
      </w:r>
    </w:p>
    <w:p w14:paraId="3189205A" w14:textId="7BE7E12C" w:rsidR="00955913" w:rsidRDefault="00955913" w:rsidP="00DD756D">
      <w:r w:rsidRPr="006B23C1">
        <w:t>Les collectivités devront proposer un plan de communication qui soutien</w:t>
      </w:r>
      <w:r w:rsidR="00917767">
        <w:t>dra</w:t>
      </w:r>
      <w:r w:rsidRPr="006B23C1">
        <w:t xml:space="preserve"> sur la durée le geste de tri des habitants,</w:t>
      </w:r>
    </w:p>
    <w:p w14:paraId="09B644B5" w14:textId="77777777" w:rsidR="00466737" w:rsidRDefault="00466737" w:rsidP="00DD756D"/>
    <w:p w14:paraId="4EC9EA5A" w14:textId="68C2481C" w:rsidR="00473602" w:rsidRDefault="00991E86" w:rsidP="00DD756D">
      <w:pPr>
        <w:rPr>
          <w:b/>
          <w:i/>
        </w:rPr>
      </w:pPr>
      <w:r w:rsidRPr="00496049">
        <w:rPr>
          <w:b/>
          <w:i/>
        </w:rPr>
        <w:t>S</w:t>
      </w:r>
      <w:r w:rsidR="00567260" w:rsidRPr="00496049">
        <w:rPr>
          <w:b/>
          <w:i/>
        </w:rPr>
        <w:t xml:space="preserve">ont </w:t>
      </w:r>
      <w:r w:rsidRPr="00496049">
        <w:rPr>
          <w:b/>
          <w:i/>
        </w:rPr>
        <w:t xml:space="preserve">ainsi </w:t>
      </w:r>
      <w:r w:rsidR="00567260" w:rsidRPr="00496049">
        <w:rPr>
          <w:b/>
          <w:i/>
        </w:rPr>
        <w:t>concernés :</w:t>
      </w:r>
    </w:p>
    <w:p w14:paraId="00554C38" w14:textId="77777777" w:rsidR="00466737" w:rsidRPr="00496049" w:rsidRDefault="00466737" w:rsidP="00DD756D">
      <w:pPr>
        <w:rPr>
          <w:b/>
          <w:i/>
        </w:rPr>
      </w:pPr>
    </w:p>
    <w:p w14:paraId="333051CB" w14:textId="41EAB686" w:rsidR="00473602" w:rsidRPr="00466737" w:rsidRDefault="00473602" w:rsidP="00C432EB">
      <w:pPr>
        <w:pStyle w:val="Paragraphedeliste"/>
        <w:numPr>
          <w:ilvl w:val="0"/>
          <w:numId w:val="25"/>
        </w:numPr>
        <w:rPr>
          <w:rFonts w:ascii="Helvetica" w:hAnsi="Helvetica" w:cs="Helvetica"/>
          <w:b/>
        </w:rPr>
      </w:pPr>
      <w:r w:rsidRPr="00C432EB">
        <w:rPr>
          <w:b/>
        </w:rPr>
        <w:t xml:space="preserve">Les </w:t>
      </w:r>
      <w:r w:rsidRPr="00C432EB">
        <w:rPr>
          <w:b/>
          <w:sz w:val="22"/>
        </w:rPr>
        <w:t xml:space="preserve">expérimentations </w:t>
      </w:r>
      <w:r w:rsidRPr="00C432EB">
        <w:rPr>
          <w:b/>
        </w:rPr>
        <w:t xml:space="preserve">de collecte séparée </w:t>
      </w:r>
    </w:p>
    <w:p w14:paraId="6468F776" w14:textId="77777777" w:rsidR="00466737" w:rsidRPr="00C432EB" w:rsidRDefault="00466737" w:rsidP="00466737">
      <w:pPr>
        <w:pStyle w:val="Paragraphedeliste"/>
        <w:rPr>
          <w:rFonts w:ascii="Helvetica" w:hAnsi="Helvetica" w:cs="Helvetica"/>
          <w:b/>
        </w:rPr>
      </w:pPr>
    </w:p>
    <w:p w14:paraId="5FBE9D14" w14:textId="77777777" w:rsidR="00473602" w:rsidRDefault="00473602" w:rsidP="00DD756D">
      <w:r>
        <w:t xml:space="preserve">Est entendu par </w:t>
      </w:r>
      <w:r w:rsidRPr="00075997">
        <w:rPr>
          <w:b/>
        </w:rPr>
        <w:t>EXPERIMENTATION</w:t>
      </w:r>
      <w:r>
        <w:t xml:space="preserve"> une phase de test </w:t>
      </w:r>
      <w:r w:rsidRPr="00075997">
        <w:t>d’un an</w:t>
      </w:r>
      <w:r>
        <w:t xml:space="preserve"> (compte tenu de la saisonnalité de la production de biodéchets) sur un quartier ou sur une zone du territoire représentative des typologies d’habitat existantes, couvrant entre </w:t>
      </w:r>
      <w:r w:rsidRPr="00075997">
        <w:t xml:space="preserve">5 </w:t>
      </w:r>
      <w:r>
        <w:t xml:space="preserve">et 10 </w:t>
      </w:r>
      <w:r w:rsidRPr="00075997">
        <w:t>% de la population</w:t>
      </w:r>
      <w:r>
        <w:t xml:space="preserve"> de la collectivité. </w:t>
      </w:r>
    </w:p>
    <w:p w14:paraId="5A906C2B" w14:textId="77777777" w:rsidR="00C65300" w:rsidRDefault="00473602" w:rsidP="00DD756D">
      <w:r>
        <w:t>L’expérimentation sera l’occasion de tester la faisabilité</w:t>
      </w:r>
      <w:r w:rsidR="00C65300">
        <w:t> :</w:t>
      </w:r>
    </w:p>
    <w:p w14:paraId="1A379E89" w14:textId="1CA1B4AC" w:rsidR="00C65300" w:rsidRPr="00C65300" w:rsidRDefault="00DC1F97" w:rsidP="00C65300">
      <w:pPr>
        <w:pStyle w:val="Paragraphedeliste"/>
        <w:numPr>
          <w:ilvl w:val="0"/>
          <w:numId w:val="29"/>
        </w:numPr>
        <w:spacing w:before="0"/>
        <w:ind w:left="714" w:hanging="357"/>
        <w:rPr>
          <w:rFonts w:ascii="Helvetica" w:hAnsi="Helvetica" w:cs="Helvetica"/>
        </w:rPr>
      </w:pPr>
      <w:r>
        <w:t>Des</w:t>
      </w:r>
      <w:r w:rsidR="00473602">
        <w:t xml:space="preserve"> scén</w:t>
      </w:r>
      <w:r w:rsidR="006D57CA">
        <w:t>ario</w:t>
      </w:r>
      <w:r w:rsidR="00C65300">
        <w:t>s</w:t>
      </w:r>
      <w:r w:rsidR="006D57CA">
        <w:t xml:space="preserve"> retenu</w:t>
      </w:r>
      <w:r w:rsidR="00C65300">
        <w:t>s</w:t>
      </w:r>
      <w:r w:rsidR="006D57CA">
        <w:t xml:space="preserve"> par la collectivité (apport volontaire, porte à porte), </w:t>
      </w:r>
    </w:p>
    <w:p w14:paraId="59C8C9CC" w14:textId="1D4A26EE" w:rsidR="00C65300" w:rsidRPr="00C65300" w:rsidRDefault="00DC1F97" w:rsidP="00C65300">
      <w:pPr>
        <w:pStyle w:val="Paragraphedeliste"/>
        <w:numPr>
          <w:ilvl w:val="0"/>
          <w:numId w:val="29"/>
        </w:numPr>
        <w:rPr>
          <w:rFonts w:ascii="Helvetica" w:hAnsi="Helvetica" w:cs="Helvetica"/>
        </w:rPr>
      </w:pPr>
      <w:r>
        <w:t>Des</w:t>
      </w:r>
      <w:r w:rsidR="00C65300">
        <w:t xml:space="preserve"> </w:t>
      </w:r>
      <w:r w:rsidR="00473602">
        <w:t xml:space="preserve">solutions techniques </w:t>
      </w:r>
      <w:r w:rsidR="00C65300">
        <w:t xml:space="preserve">(bioseau, bennes, entretien …) </w:t>
      </w:r>
    </w:p>
    <w:p w14:paraId="771F2F48" w14:textId="4880D0B5" w:rsidR="00C65300" w:rsidRPr="00C65300" w:rsidRDefault="00DC1F97" w:rsidP="00C65300">
      <w:pPr>
        <w:pStyle w:val="Paragraphedeliste"/>
        <w:numPr>
          <w:ilvl w:val="0"/>
          <w:numId w:val="29"/>
        </w:numPr>
        <w:rPr>
          <w:rFonts w:ascii="Helvetica" w:hAnsi="Helvetica" w:cs="Helvetica"/>
        </w:rPr>
      </w:pPr>
      <w:r>
        <w:t>L’impact</w:t>
      </w:r>
      <w:r w:rsidR="00C65300">
        <w:t xml:space="preserve"> des consignes et messages auprès des usagers</w:t>
      </w:r>
      <w:r w:rsidR="00F82478">
        <w:t xml:space="preserve"> cohérence de la communication avec la gestion de proximité et de la lutte c</w:t>
      </w:r>
      <w:r w:rsidR="007A3CD2">
        <w:t>ontre le gaspillage alimentaire</w:t>
      </w:r>
    </w:p>
    <w:p w14:paraId="5760CC07" w14:textId="7036206A" w:rsidR="00473602" w:rsidRDefault="00473602" w:rsidP="00DD756D">
      <w:pPr>
        <w:rPr>
          <w:rFonts w:ascii="Helvetica" w:hAnsi="Helvetica" w:cs="Helvetica"/>
        </w:rPr>
      </w:pPr>
    </w:p>
    <w:p w14:paraId="377FFE56" w14:textId="722DD9B8" w:rsidR="00473602" w:rsidRPr="00C432EB" w:rsidRDefault="00473602" w:rsidP="00C432EB">
      <w:pPr>
        <w:pStyle w:val="Paragraphedeliste"/>
        <w:numPr>
          <w:ilvl w:val="0"/>
          <w:numId w:val="25"/>
        </w:numPr>
        <w:rPr>
          <w:rFonts w:ascii="Helvetica" w:hAnsi="Helvetica" w:cs="Helvetica"/>
          <w:b/>
        </w:rPr>
      </w:pPr>
      <w:r w:rsidRPr="00C432EB">
        <w:rPr>
          <w:b/>
          <w:sz w:val="22"/>
        </w:rPr>
        <w:t xml:space="preserve">Mise en place effective </w:t>
      </w:r>
      <w:r w:rsidRPr="00C432EB">
        <w:rPr>
          <w:b/>
        </w:rPr>
        <w:t xml:space="preserve">ou </w:t>
      </w:r>
      <w:r w:rsidRPr="00C432EB">
        <w:rPr>
          <w:b/>
          <w:sz w:val="22"/>
        </w:rPr>
        <w:t xml:space="preserve">extension </w:t>
      </w:r>
      <w:r w:rsidRPr="00C432EB">
        <w:rPr>
          <w:b/>
        </w:rPr>
        <w:t>de collecte séparée des biodéchets</w:t>
      </w:r>
      <w:r w:rsidR="003A3E6B" w:rsidRPr="00C432EB">
        <w:rPr>
          <w:b/>
        </w:rPr>
        <w:t> :</w:t>
      </w:r>
    </w:p>
    <w:p w14:paraId="6663C9A1" w14:textId="58467E76" w:rsidR="006D57CA" w:rsidRDefault="006D57CA" w:rsidP="00DD756D">
      <w:r>
        <w:t>E</w:t>
      </w:r>
      <w:r w:rsidRPr="006B23C1">
        <w:t>ntre dans le champ des aides</w:t>
      </w:r>
      <w:r>
        <w:t> l</w:t>
      </w:r>
      <w:r w:rsidRPr="006B23C1">
        <w:t>’extension des opérations existantes</w:t>
      </w:r>
      <w:r w:rsidR="00027D44">
        <w:t xml:space="preserve"> ou </w:t>
      </w:r>
      <w:r w:rsidR="00C65300">
        <w:t xml:space="preserve">en </w:t>
      </w:r>
      <w:r w:rsidR="00027D44">
        <w:t xml:space="preserve">expérimentation </w:t>
      </w:r>
      <w:r>
        <w:t>:</w:t>
      </w:r>
    </w:p>
    <w:p w14:paraId="1D3B1A01" w14:textId="09E1EB3F" w:rsidR="006D57CA" w:rsidRDefault="00DC1F97" w:rsidP="00C65300">
      <w:pPr>
        <w:pStyle w:val="Paragraphedeliste"/>
        <w:numPr>
          <w:ilvl w:val="0"/>
          <w:numId w:val="26"/>
        </w:numPr>
        <w:ind w:left="714" w:hanging="357"/>
        <w:contextualSpacing w:val="0"/>
      </w:pPr>
      <w:r w:rsidRPr="006B23C1">
        <w:t>Pour</w:t>
      </w:r>
      <w:r w:rsidR="006D57CA" w:rsidRPr="006B23C1">
        <w:t xml:space="preserve"> des populations non desservies au préalable, </w:t>
      </w:r>
    </w:p>
    <w:p w14:paraId="7F615D25" w14:textId="4DF7A712" w:rsidR="006D57CA" w:rsidRDefault="00DC1F97" w:rsidP="00C65300">
      <w:pPr>
        <w:pStyle w:val="Paragraphedeliste"/>
        <w:numPr>
          <w:ilvl w:val="0"/>
          <w:numId w:val="26"/>
        </w:numPr>
        <w:ind w:left="714" w:hanging="357"/>
        <w:contextualSpacing w:val="0"/>
      </w:pPr>
      <w:r>
        <w:lastRenderedPageBreak/>
        <w:t>Pour</w:t>
      </w:r>
      <w:r w:rsidR="006D57CA" w:rsidRPr="006B23C1">
        <w:t xml:space="preserve"> </w:t>
      </w:r>
      <w:r w:rsidR="006D57CA">
        <w:t xml:space="preserve">des </w:t>
      </w:r>
      <w:r w:rsidR="006D57CA" w:rsidRPr="006B23C1">
        <w:t>producteurs</w:t>
      </w:r>
      <w:r w:rsidR="006D57CA">
        <w:t xml:space="preserve"> </w:t>
      </w:r>
      <w:r w:rsidR="00690A7F">
        <w:t>non ménagers</w:t>
      </w:r>
      <w:r w:rsidR="00690A7F" w:rsidRPr="006B23C1">
        <w:t xml:space="preserve"> </w:t>
      </w:r>
      <w:r w:rsidR="006D57CA" w:rsidRPr="006B23C1">
        <w:t xml:space="preserve">de </w:t>
      </w:r>
      <w:r w:rsidR="00753FC4">
        <w:t>biodéchets (</w:t>
      </w:r>
      <w:r w:rsidR="00841229" w:rsidRPr="0086386C">
        <w:t>inférieurs au seuil réglementaire)</w:t>
      </w:r>
      <w:r w:rsidR="006D57CA" w:rsidRPr="0086386C">
        <w:t xml:space="preserve">, </w:t>
      </w:r>
      <w:r w:rsidR="006D57CA" w:rsidRPr="006B23C1">
        <w:t>sous réserve qu’ils s’inscrivent dans le cadre du service public de collecte et qu’ils contribuent spécifiquement au financement de ce service (redevance d’enlèvement des ordures ménagères (REOM) ou redevance spéciale(RS)).</w:t>
      </w:r>
    </w:p>
    <w:p w14:paraId="0B0B14BF" w14:textId="535C8263" w:rsidR="00955913" w:rsidRPr="00466737" w:rsidRDefault="00C65300" w:rsidP="00DD756D">
      <w:pPr>
        <w:rPr>
          <w:rFonts w:ascii="Helvetica" w:hAnsi="Helvetica" w:cs="Helvetica"/>
          <w:u w:val="single"/>
        </w:rPr>
      </w:pPr>
      <w:r w:rsidRPr="00466737">
        <w:rPr>
          <w:rFonts w:ascii="Helvetica" w:hAnsi="Helvetica" w:cs="Helvetica"/>
          <w:u w:val="single"/>
        </w:rPr>
        <w:t>S</w:t>
      </w:r>
      <w:r w:rsidR="00955913" w:rsidRPr="00466737">
        <w:rPr>
          <w:rFonts w:ascii="Helvetica" w:hAnsi="Helvetica" w:cs="Helvetica"/>
          <w:u w:val="single"/>
        </w:rPr>
        <w:t xml:space="preserve">ont exclus : </w:t>
      </w:r>
    </w:p>
    <w:p w14:paraId="1F02F5A5" w14:textId="0F42CB5E" w:rsidR="0039473D" w:rsidRPr="0039473D" w:rsidRDefault="00DC1F97" w:rsidP="0039473D">
      <w:pPr>
        <w:pStyle w:val="Paragraphedeliste"/>
        <w:numPr>
          <w:ilvl w:val="0"/>
          <w:numId w:val="25"/>
        </w:numPr>
        <w:rPr>
          <w:rFonts w:ascii="Helvetica" w:hAnsi="Helvetica" w:cs="Helvetica"/>
        </w:rPr>
      </w:pPr>
      <w:r w:rsidRPr="006B23C1">
        <w:t>Le</w:t>
      </w:r>
      <w:r w:rsidR="0039473D" w:rsidRPr="006B23C1">
        <w:t xml:space="preserve"> développement de service dédié aux déchets non ménagers n</w:t>
      </w:r>
      <w:r w:rsidR="0039473D">
        <w:t>’</w:t>
      </w:r>
      <w:r w:rsidR="0039473D" w:rsidRPr="006B23C1">
        <w:t>entr</w:t>
      </w:r>
      <w:r w:rsidR="00690A7F">
        <w:t>ant</w:t>
      </w:r>
      <w:r w:rsidR="0039473D" w:rsidRPr="006B23C1">
        <w:t xml:space="preserve"> pas (sauf cas particulier de la carence du service privé) dans le périmètre du service public de </w:t>
      </w:r>
      <w:r w:rsidR="0039473D">
        <w:t xml:space="preserve">prévention et </w:t>
      </w:r>
      <w:r w:rsidR="0039473D" w:rsidRPr="006B23C1">
        <w:t xml:space="preserve">gestion des déchets ménagers et assimilés. </w:t>
      </w:r>
      <w:r w:rsidR="0039473D">
        <w:t>Les opérations de collectes séparées des biodéchets des producteurs concernés par l’obligation de tri à la source des biodéchets ne peuvent faire l’objet d’un soutien de l’ADEME.</w:t>
      </w:r>
    </w:p>
    <w:p w14:paraId="43279AD5" w14:textId="3E75ED2C" w:rsidR="00955913" w:rsidRDefault="00DC1F97" w:rsidP="00C65300">
      <w:pPr>
        <w:pStyle w:val="Paragraphedeliste"/>
        <w:numPr>
          <w:ilvl w:val="0"/>
          <w:numId w:val="27"/>
        </w:numPr>
        <w:spacing w:after="120"/>
        <w:ind w:left="714" w:hanging="357"/>
        <w:contextualSpacing w:val="0"/>
      </w:pPr>
      <w:r w:rsidRPr="001C0CAC">
        <w:t>Les</w:t>
      </w:r>
      <w:r w:rsidR="00955913" w:rsidRPr="001C0CAC">
        <w:t xml:space="preserve"> collectes exclusives de</w:t>
      </w:r>
      <w:r w:rsidR="004509DD">
        <w:t xml:space="preserve"> déchets verts </w:t>
      </w:r>
      <w:r w:rsidR="00955913" w:rsidRPr="001C0CAC">
        <w:t>ne sont pas éligibles.</w:t>
      </w:r>
    </w:p>
    <w:p w14:paraId="46D2CFD2" w14:textId="442A563F" w:rsidR="00495D38" w:rsidRDefault="00495D38" w:rsidP="00495D38">
      <w:pPr>
        <w:spacing w:after="120"/>
      </w:pPr>
    </w:p>
    <w:p w14:paraId="49C6FFB1" w14:textId="4A46A1E0" w:rsidR="00495D38" w:rsidRDefault="00495D38" w:rsidP="00495D38">
      <w:pPr>
        <w:rPr>
          <w:rFonts w:ascii="Helvetica" w:hAnsi="Helvetica" w:cs="Helvetica"/>
        </w:rPr>
      </w:pPr>
      <w:r w:rsidRPr="00466737">
        <w:rPr>
          <w:rFonts w:ascii="Helvetica" w:hAnsi="Helvetica" w:cs="Helvetica"/>
          <w:u w:val="single"/>
        </w:rPr>
        <w:t>Sont pris en compte</w:t>
      </w:r>
      <w:r w:rsidRPr="00466737">
        <w:rPr>
          <w:rFonts w:ascii="Helvetica" w:hAnsi="Helvetica" w:cs="Helvetica"/>
        </w:rPr>
        <w:t xml:space="preserve"> </w:t>
      </w:r>
      <w:r w:rsidRPr="00495D38">
        <w:rPr>
          <w:rFonts w:ascii="Helvetica" w:hAnsi="Helvetica" w:cs="Helvetica"/>
        </w:rPr>
        <w:t>pour les c</w:t>
      </w:r>
      <w:r w:rsidR="0086386C">
        <w:rPr>
          <w:rFonts w:ascii="Helvetica" w:hAnsi="Helvetica" w:cs="Helvetica"/>
        </w:rPr>
        <w:t>ollectes en porte à porte et/ou</w:t>
      </w:r>
      <w:r w:rsidRPr="0086386C">
        <w:rPr>
          <w:rFonts w:ascii="Helvetica" w:hAnsi="Helvetica" w:cs="Helvetica"/>
        </w:rPr>
        <w:t xml:space="preserve"> apport volontaire </w:t>
      </w:r>
      <w:r w:rsidRPr="00495D38">
        <w:rPr>
          <w:rFonts w:ascii="Helvetica" w:hAnsi="Helvetica" w:cs="Helvetica"/>
        </w:rPr>
        <w:t>:</w:t>
      </w:r>
    </w:p>
    <w:p w14:paraId="00F315D3" w14:textId="77777777" w:rsidR="0039473D" w:rsidRDefault="0039473D" w:rsidP="0039473D">
      <w:pPr>
        <w:pStyle w:val="Paragraphedeliste"/>
        <w:numPr>
          <w:ilvl w:val="1"/>
          <w:numId w:val="8"/>
        </w:numPr>
        <w:suppressAutoHyphens/>
        <w:spacing w:before="0"/>
        <w:ind w:left="1440"/>
      </w:pPr>
      <w:r>
        <w:t>La fourniture des dispositifs de précollecte individuels (bioseaux ajourés, sacs biodégradables) sur la base de la dotation de trois années</w:t>
      </w:r>
    </w:p>
    <w:p w14:paraId="1B5BA6B4" w14:textId="4A5C6A87" w:rsidR="0039473D" w:rsidRPr="0086386C" w:rsidRDefault="0039473D" w:rsidP="00044280">
      <w:pPr>
        <w:pStyle w:val="Paragraphedeliste"/>
        <w:numPr>
          <w:ilvl w:val="1"/>
          <w:numId w:val="8"/>
        </w:numPr>
        <w:suppressAutoHyphens/>
        <w:spacing w:before="0"/>
        <w:ind w:left="1440"/>
      </w:pPr>
      <w:r>
        <w:t xml:space="preserve">La fourniture des bacs /contenants / points d’apport volontaire (éventuellement l’adaptation des bacs); </w:t>
      </w:r>
      <w:r w:rsidRPr="0086386C">
        <w:t>et la fourniture de matériel de tri séparé pour les activités non soumises à une obligation réglementaire et entrant dans le cadre du service public</w:t>
      </w:r>
    </w:p>
    <w:p w14:paraId="04A0026E" w14:textId="2B318A30" w:rsidR="00300EC4" w:rsidRPr="0086386C" w:rsidRDefault="00300EC4" w:rsidP="00300EC4">
      <w:pPr>
        <w:pStyle w:val="Paragraphedeliste"/>
        <w:suppressAutoHyphens/>
        <w:spacing w:before="0"/>
        <w:ind w:left="1440"/>
      </w:pPr>
      <w:r w:rsidRPr="0086386C">
        <w:t xml:space="preserve">Le maillage des points en Apport volontaire devra être suffisamment dense </w:t>
      </w:r>
    </w:p>
    <w:p w14:paraId="708E6C51" w14:textId="77777777" w:rsidR="0039473D" w:rsidRPr="00C6223C" w:rsidRDefault="0039473D" w:rsidP="0039473D">
      <w:pPr>
        <w:pStyle w:val="Paragraphedeliste"/>
        <w:numPr>
          <w:ilvl w:val="1"/>
          <w:numId w:val="8"/>
        </w:numPr>
        <w:suppressAutoHyphens/>
        <w:spacing w:before="0"/>
        <w:ind w:left="1440"/>
      </w:pPr>
      <w:r w:rsidRPr="00C6223C">
        <w:t>Les éventuels équipements de lavage des bacs et des colonnes</w:t>
      </w:r>
    </w:p>
    <w:p w14:paraId="22DE4D8E" w14:textId="77777777" w:rsidR="0039473D" w:rsidRDefault="0039473D" w:rsidP="0039473D">
      <w:pPr>
        <w:pStyle w:val="Paragraphedeliste"/>
        <w:numPr>
          <w:ilvl w:val="1"/>
          <w:numId w:val="8"/>
        </w:numPr>
        <w:suppressAutoHyphens/>
        <w:spacing w:before="0"/>
        <w:ind w:left="1440"/>
      </w:pPr>
      <w:r>
        <w:t>La distribution/ marquage des contenants ;</w:t>
      </w:r>
    </w:p>
    <w:p w14:paraId="4551FC74" w14:textId="54F4AEE2" w:rsidR="0039473D" w:rsidRDefault="0039473D" w:rsidP="0039473D">
      <w:pPr>
        <w:pStyle w:val="Paragraphedeliste"/>
        <w:numPr>
          <w:ilvl w:val="1"/>
          <w:numId w:val="8"/>
        </w:numPr>
        <w:suppressAutoHyphens/>
        <w:spacing w:before="0"/>
        <w:ind w:left="1440"/>
      </w:pPr>
      <w:r>
        <w:t>L’adaptation des bennes de collecte ou le surcoût d’acquisition des bennes spécifiques,</w:t>
      </w:r>
    </w:p>
    <w:p w14:paraId="754ECCFF" w14:textId="77777777" w:rsidR="0039473D" w:rsidRDefault="0039473D" w:rsidP="0039473D">
      <w:pPr>
        <w:pStyle w:val="Paragraphedeliste"/>
        <w:numPr>
          <w:ilvl w:val="1"/>
          <w:numId w:val="8"/>
        </w:numPr>
        <w:suppressAutoHyphens/>
        <w:spacing w:before="0"/>
        <w:ind w:left="1440"/>
      </w:pPr>
      <w:r>
        <w:t>Le logiciel de comptabilisation des bacs si la collectivité n’est pas en TI</w:t>
      </w:r>
    </w:p>
    <w:p w14:paraId="6B1B5130" w14:textId="77777777" w:rsidR="0039473D" w:rsidRDefault="0039473D" w:rsidP="0039473D">
      <w:pPr>
        <w:pStyle w:val="Paragraphedeliste"/>
        <w:numPr>
          <w:ilvl w:val="1"/>
          <w:numId w:val="8"/>
        </w:numPr>
        <w:suppressAutoHyphens/>
        <w:spacing w:before="0"/>
        <w:ind w:left="1440"/>
      </w:pPr>
      <w:r>
        <w:t xml:space="preserve">Les frais de communication liés à la mise en place du projet de collecte séparée des biodéchets </w:t>
      </w:r>
    </w:p>
    <w:p w14:paraId="62662BAD" w14:textId="77777777" w:rsidR="0039473D" w:rsidRPr="00F8553B" w:rsidRDefault="0039473D" w:rsidP="0039473D">
      <w:r w:rsidRPr="007F65FD">
        <w:rPr>
          <w:b/>
        </w:rPr>
        <w:t>NB : Les coûts de fonctionnement de la collecte ne sont pas éligibles</w:t>
      </w:r>
      <w:r w:rsidRPr="00F8553B">
        <w:t>.</w:t>
      </w:r>
    </w:p>
    <w:p w14:paraId="290A95B1" w14:textId="342E594D" w:rsidR="0039473D" w:rsidRDefault="0039473D" w:rsidP="00495D38">
      <w:pPr>
        <w:rPr>
          <w:rFonts w:ascii="Helvetica" w:hAnsi="Helvetica" w:cs="Helvetica"/>
        </w:rPr>
      </w:pPr>
    </w:p>
    <w:p w14:paraId="7124B690" w14:textId="2E065756" w:rsidR="00D13DC6" w:rsidRDefault="00DF7563" w:rsidP="00495D38">
      <w:pPr>
        <w:rPr>
          <w:rFonts w:ascii="Helvetica" w:hAnsi="Helvetica" w:cs="Helvetica"/>
        </w:rPr>
      </w:pPr>
      <w:r w:rsidRPr="00466737">
        <w:rPr>
          <w:rFonts w:ascii="Helvetica" w:hAnsi="Helvetica" w:cs="Helvetica"/>
          <w:u w:val="single"/>
        </w:rPr>
        <w:t>Suivi d’une opération de mise en place d’une collecte séparée</w:t>
      </w:r>
      <w:r>
        <w:rPr>
          <w:rFonts w:ascii="Helvetica" w:hAnsi="Helvetica" w:cs="Helvetica"/>
        </w:rPr>
        <w:t xml:space="preserve"> : </w:t>
      </w:r>
    </w:p>
    <w:p w14:paraId="34101631" w14:textId="07A286D5" w:rsidR="00D13DC6" w:rsidRDefault="00D13DC6" w:rsidP="00D13DC6">
      <w:r>
        <w:t>De manière à connaître les performances te</w:t>
      </w:r>
      <w:r w:rsidR="00DF7563">
        <w:t>chnico-économiques atteintes par</w:t>
      </w:r>
      <w:r>
        <w:t xml:space="preserve"> les collectivités mettant en place une collecte séparée des biodéchets, il est préconisé de suivre les </w:t>
      </w:r>
      <w:r w:rsidRPr="001D09C0">
        <w:rPr>
          <w:b/>
        </w:rPr>
        <w:t>indicateurs</w:t>
      </w:r>
      <w:r>
        <w:t xml:space="preserve"> suivants :</w:t>
      </w:r>
    </w:p>
    <w:p w14:paraId="011B4E22" w14:textId="77777777" w:rsidR="00DF7563" w:rsidRDefault="00DF7563" w:rsidP="00D13DC6"/>
    <w:p w14:paraId="6830132A" w14:textId="77777777" w:rsidR="00D13DC6" w:rsidRDefault="00D13DC6" w:rsidP="00D13DC6">
      <w:pPr>
        <w:pStyle w:val="Paragraphedeliste"/>
        <w:numPr>
          <w:ilvl w:val="0"/>
          <w:numId w:val="39"/>
        </w:numPr>
        <w:suppressAutoHyphens/>
        <w:spacing w:before="0"/>
        <w:ind w:left="284" w:hanging="283"/>
      </w:pPr>
      <w:r>
        <w:t>Quantité biodéchets ménagers et assimilés collectés (kg/hab desservi.an)</w:t>
      </w:r>
    </w:p>
    <w:p w14:paraId="175C2966" w14:textId="77777777" w:rsidR="00D13DC6" w:rsidRDefault="00D13DC6" w:rsidP="00D13DC6">
      <w:pPr>
        <w:pStyle w:val="Paragraphedeliste"/>
        <w:numPr>
          <w:ilvl w:val="0"/>
          <w:numId w:val="39"/>
        </w:numPr>
        <w:suppressAutoHyphens/>
        <w:spacing w:before="0"/>
        <w:ind w:left="284" w:hanging="283"/>
      </w:pPr>
      <w:r>
        <w:t>Population couverte par une collecte séparée des biodéchets (hab) (et % de la population totale)</w:t>
      </w:r>
    </w:p>
    <w:p w14:paraId="45ACDA30" w14:textId="77777777" w:rsidR="00D13DC6" w:rsidRDefault="00D13DC6" w:rsidP="00D13DC6">
      <w:pPr>
        <w:pStyle w:val="Paragraphedeliste"/>
        <w:numPr>
          <w:ilvl w:val="0"/>
          <w:numId w:val="39"/>
        </w:numPr>
        <w:suppressAutoHyphens/>
        <w:spacing w:before="0"/>
        <w:ind w:left="284" w:hanging="283"/>
      </w:pPr>
      <w:r>
        <w:t>Taux de participation des foyers desservis</w:t>
      </w:r>
    </w:p>
    <w:p w14:paraId="133B3CC1" w14:textId="77777777" w:rsidR="00D13DC6" w:rsidRDefault="00D13DC6" w:rsidP="00D13DC6">
      <w:pPr>
        <w:pStyle w:val="Paragraphedeliste"/>
        <w:numPr>
          <w:ilvl w:val="0"/>
          <w:numId w:val="39"/>
        </w:numPr>
        <w:suppressAutoHyphens/>
        <w:spacing w:before="0"/>
        <w:ind w:left="284" w:hanging="283"/>
      </w:pPr>
      <w:r>
        <w:t>% de refus de tri sur les biodéchets</w:t>
      </w:r>
    </w:p>
    <w:p w14:paraId="62967F5E" w14:textId="77777777" w:rsidR="00D13DC6" w:rsidRDefault="00D13DC6" w:rsidP="00D13DC6">
      <w:pPr>
        <w:pStyle w:val="Paragraphedeliste"/>
        <w:numPr>
          <w:ilvl w:val="0"/>
          <w:numId w:val="39"/>
        </w:numPr>
        <w:suppressAutoHyphens/>
        <w:spacing w:before="0"/>
        <w:ind w:left="284" w:hanging="283"/>
      </w:pPr>
      <w:r>
        <w:t>En porte à porte, taux de remplissage des bacs ; en apport volontaire, taux de remplissage des PAV</w:t>
      </w:r>
    </w:p>
    <w:p w14:paraId="42A12F63" w14:textId="030EEC67" w:rsidR="00D13DC6" w:rsidRDefault="00D13DC6" w:rsidP="00D13DC6">
      <w:pPr>
        <w:pStyle w:val="Paragraphedeliste"/>
        <w:numPr>
          <w:ilvl w:val="0"/>
          <w:numId w:val="39"/>
        </w:numPr>
        <w:suppressAutoHyphens/>
        <w:spacing w:before="0"/>
        <w:ind w:left="284" w:hanging="283"/>
      </w:pPr>
      <w:r>
        <w:t>Quantités d’OMR collectées (kg/hab/an) (si possible faire la distinction entre les habitants ayant accès à la collecte séparée des biodéchets de ceux non desservis).</w:t>
      </w:r>
    </w:p>
    <w:p w14:paraId="6E8FE137" w14:textId="2C98F0BF" w:rsidR="00AE0B5A" w:rsidRDefault="00AE0B5A" w:rsidP="00AE0B5A">
      <w:pPr>
        <w:suppressAutoHyphens/>
        <w:spacing w:before="0"/>
      </w:pPr>
    </w:p>
    <w:p w14:paraId="02588E8E" w14:textId="0976DABC" w:rsidR="00AE0B5A" w:rsidRDefault="00AE0B5A" w:rsidP="00AE0B5A">
      <w:pPr>
        <w:suppressAutoHyphens/>
        <w:spacing w:before="0"/>
      </w:pPr>
    </w:p>
    <w:p w14:paraId="3FEE9800" w14:textId="20B48371" w:rsidR="00AE0B5A" w:rsidRPr="00DC1F97" w:rsidRDefault="00AE0B5A" w:rsidP="00AE0B5A">
      <w:pPr>
        <w:pStyle w:val="Titre3"/>
        <w:spacing w:before="240"/>
      </w:pPr>
      <w:r w:rsidRPr="00DC1F97">
        <w:t>Volet 4. Déploiement des plateformes de compostage</w:t>
      </w:r>
      <w:r w:rsidR="00A057B8" w:rsidRPr="00DC1F97">
        <w:t xml:space="preserve"> à maitrise d’ouvrage publique</w:t>
      </w:r>
      <w:r w:rsidRPr="00DC1F97">
        <w:t xml:space="preserve"> </w:t>
      </w:r>
      <w:r w:rsidR="00A057B8" w:rsidRPr="00DC1F97">
        <w:rPr>
          <w:rStyle w:val="Appelnotedebasdep"/>
        </w:rPr>
        <w:footnoteReference w:id="4"/>
      </w:r>
    </w:p>
    <w:p w14:paraId="702F3E26" w14:textId="24DF73D9" w:rsidR="00AE0B5A" w:rsidRPr="003E6C4B" w:rsidRDefault="00AE0B5A" w:rsidP="00AE0B5A">
      <w:pPr>
        <w:rPr>
          <w:highlight w:val="yellow"/>
        </w:rPr>
      </w:pPr>
    </w:p>
    <w:p w14:paraId="3C6F9D0D" w14:textId="03EBD3E6" w:rsidR="00AE0B5A" w:rsidRPr="00DC1F97" w:rsidRDefault="00AE0B5A" w:rsidP="00AE0B5A">
      <w:pPr>
        <w:rPr>
          <w:b/>
        </w:rPr>
      </w:pPr>
      <w:r w:rsidRPr="00DC1F97">
        <w:t xml:space="preserve">L’objectif est d’encourager de nouvelles capacités de compostage pour les biodéchets par la </w:t>
      </w:r>
      <w:r w:rsidRPr="00DC1F97">
        <w:rPr>
          <w:b/>
        </w:rPr>
        <w:t xml:space="preserve">création </w:t>
      </w:r>
      <w:r w:rsidR="003E6C4B" w:rsidRPr="00DC1F97">
        <w:rPr>
          <w:b/>
        </w:rPr>
        <w:t xml:space="preserve">d’installations </w:t>
      </w:r>
      <w:r w:rsidRPr="00DC1F97">
        <w:rPr>
          <w:b/>
        </w:rPr>
        <w:t xml:space="preserve">ou la modernisation de </w:t>
      </w:r>
      <w:r w:rsidR="003E6C4B" w:rsidRPr="00DC1F97">
        <w:rPr>
          <w:b/>
        </w:rPr>
        <w:t>plateformes existantes.</w:t>
      </w:r>
    </w:p>
    <w:p w14:paraId="092CD615" w14:textId="317A9B56" w:rsidR="003E6C4B" w:rsidRPr="00DC1F97" w:rsidRDefault="003E6C4B" w:rsidP="00AE0B5A">
      <w:r w:rsidRPr="00DC1F97">
        <w:t xml:space="preserve">Le projet d’investissement doit être en </w:t>
      </w:r>
      <w:r w:rsidRPr="00DC1F97">
        <w:rPr>
          <w:b/>
        </w:rPr>
        <w:t>cohérence avec le PRPGD</w:t>
      </w:r>
      <w:r w:rsidRPr="00DC1F97">
        <w:t xml:space="preserve"> et s’inscrire dans une logique de concertation territoriale.</w:t>
      </w:r>
    </w:p>
    <w:p w14:paraId="47A604D0" w14:textId="7246237A" w:rsidR="003E6C4B" w:rsidRPr="00DC1F97" w:rsidRDefault="003E6C4B" w:rsidP="00AE0B5A">
      <w:r w:rsidRPr="00DC1F97">
        <w:lastRenderedPageBreak/>
        <w:t xml:space="preserve">L’installation de compostage devra être </w:t>
      </w:r>
      <w:r w:rsidRPr="00DC1F97">
        <w:rPr>
          <w:b/>
        </w:rPr>
        <w:t>en phase avec les obligations réglementaires</w:t>
      </w:r>
      <w:r w:rsidRPr="00DC1F97">
        <w:t xml:space="preserve"> en vigueur. Dans le cas d’une valorisation de la matière compostée en aval par un tiers, l’EPCI en charge de la plateforme de compostage devra s’assurer du respect des plans d’épandage après traitement par ledit tiers.</w:t>
      </w:r>
    </w:p>
    <w:p w14:paraId="07CBECA5" w14:textId="45ADC194" w:rsidR="003E6C4B" w:rsidRPr="00DC1F97" w:rsidRDefault="00EE5B3A" w:rsidP="00AE0B5A">
      <w:r w:rsidRPr="00DC1F97">
        <w:t xml:space="preserve">Un </w:t>
      </w:r>
      <w:r w:rsidR="003E6C4B" w:rsidRPr="00DC1F97">
        <w:t xml:space="preserve">tel projet de création ou de modernisation d’une installation de traitement par compostage </w:t>
      </w:r>
      <w:r w:rsidRPr="00DC1F97">
        <w:t xml:space="preserve">devra présenter obligatoirement les résultats d’une </w:t>
      </w:r>
      <w:r w:rsidRPr="00DC1F97">
        <w:rPr>
          <w:b/>
        </w:rPr>
        <w:t>étude préalable de faisabilité</w:t>
      </w:r>
      <w:r w:rsidRPr="00DC1F97">
        <w:t>. Pour rappel, l’étude est également éligible à l’AAP si elle est réalisée par un prestataire externe uniquement. Les résultats de l’étude devront a minima apporter les éléments suivants :</w:t>
      </w:r>
    </w:p>
    <w:p w14:paraId="35E81279" w14:textId="0AA57B02" w:rsidR="00EE5B3A" w:rsidRPr="00DC1F97" w:rsidRDefault="00EE5B3A" w:rsidP="00EE5B3A">
      <w:pPr>
        <w:pStyle w:val="Paragraphedeliste"/>
        <w:numPr>
          <w:ilvl w:val="0"/>
          <w:numId w:val="27"/>
        </w:numPr>
      </w:pPr>
      <w:r w:rsidRPr="00DC1F97">
        <w:t xml:space="preserve">Les </w:t>
      </w:r>
      <w:r w:rsidRPr="00DC1F97">
        <w:rPr>
          <w:b/>
        </w:rPr>
        <w:t>tonnages de déchets organiques</w:t>
      </w:r>
      <w:r w:rsidRPr="00DC1F97">
        <w:t xml:space="preserve"> produits par catégorie ou une estimation de ces derniers ;</w:t>
      </w:r>
    </w:p>
    <w:p w14:paraId="096CBBDE" w14:textId="1CC8BD71" w:rsidR="00EE5B3A" w:rsidRPr="00DC1F97" w:rsidRDefault="00EE5B3A" w:rsidP="00EE5B3A">
      <w:pPr>
        <w:pStyle w:val="Paragraphedeliste"/>
        <w:numPr>
          <w:ilvl w:val="0"/>
          <w:numId w:val="27"/>
        </w:numPr>
      </w:pPr>
      <w:r w:rsidRPr="00DC1F97">
        <w:t xml:space="preserve">Les </w:t>
      </w:r>
      <w:r w:rsidRPr="00DC1F97">
        <w:rPr>
          <w:b/>
        </w:rPr>
        <w:t>actions</w:t>
      </w:r>
      <w:r w:rsidRPr="00DC1F97">
        <w:t xml:space="preserve"> de </w:t>
      </w:r>
      <w:r w:rsidRPr="00DC1F97">
        <w:rPr>
          <w:b/>
        </w:rPr>
        <w:t>réduction du gaspillage alimentaire</w:t>
      </w:r>
      <w:r w:rsidRPr="00DC1F97">
        <w:t xml:space="preserve"> et/ou de </w:t>
      </w:r>
      <w:r w:rsidRPr="00DC1F97">
        <w:rPr>
          <w:b/>
        </w:rPr>
        <w:t>gestion de proximité</w:t>
      </w:r>
      <w:r w:rsidRPr="00DC1F97">
        <w:t xml:space="preserve"> mises en œuvre ;</w:t>
      </w:r>
    </w:p>
    <w:p w14:paraId="5C184CF3" w14:textId="2558866F" w:rsidR="00EE5B3A" w:rsidRPr="00DC1F97" w:rsidRDefault="00EE5B3A" w:rsidP="00EE5B3A">
      <w:pPr>
        <w:pStyle w:val="Paragraphedeliste"/>
        <w:numPr>
          <w:ilvl w:val="0"/>
          <w:numId w:val="27"/>
        </w:numPr>
      </w:pPr>
      <w:r w:rsidRPr="00DC1F97">
        <w:t xml:space="preserve">Le </w:t>
      </w:r>
      <w:r w:rsidRPr="00DC1F97">
        <w:rPr>
          <w:b/>
        </w:rPr>
        <w:t>plan d’approvisionnement</w:t>
      </w:r>
      <w:r w:rsidRPr="00DC1F97">
        <w:t xml:space="preserve"> justifiant le besoin de l’équipement</w:t>
      </w:r>
      <w:r w:rsidR="00A057B8" w:rsidRPr="00DC1F97">
        <w:t> ;</w:t>
      </w:r>
    </w:p>
    <w:p w14:paraId="471109BA" w14:textId="03999CE2" w:rsidR="00EE5B3A" w:rsidRPr="00DC1F97" w:rsidRDefault="00EE5B3A" w:rsidP="00EE5B3A">
      <w:pPr>
        <w:pStyle w:val="Paragraphedeliste"/>
        <w:numPr>
          <w:ilvl w:val="0"/>
          <w:numId w:val="27"/>
        </w:numPr>
      </w:pPr>
      <w:r w:rsidRPr="00DC1F97">
        <w:t xml:space="preserve">Le </w:t>
      </w:r>
      <w:r w:rsidRPr="00DC1F97">
        <w:rPr>
          <w:b/>
        </w:rPr>
        <w:t>bilan prévisionnel matière</w:t>
      </w:r>
      <w:r w:rsidRPr="00DC1F97">
        <w:t xml:space="preserve"> et </w:t>
      </w:r>
      <w:r w:rsidRPr="00DC1F97">
        <w:rPr>
          <w:b/>
        </w:rPr>
        <w:t>financier</w:t>
      </w:r>
      <w:r w:rsidR="00A057B8" w:rsidRPr="00DC1F97">
        <w:rPr>
          <w:b/>
        </w:rPr>
        <w:t xml:space="preserve"> (charges d’exploitation annuelle en €/en et €/tonne entrante notamment).</w:t>
      </w:r>
      <w:r w:rsidRPr="00DC1F97">
        <w:rPr>
          <w:b/>
        </w:rPr>
        <w:t xml:space="preserve"> </w:t>
      </w:r>
    </w:p>
    <w:p w14:paraId="07FF9A1B" w14:textId="219C65CD" w:rsidR="00EE5B3A" w:rsidRPr="00DC1F97" w:rsidRDefault="00EE5B3A" w:rsidP="00EE5B3A">
      <w:r w:rsidRPr="00DC1F97">
        <w:t>Le projet pourra porter sur la création de nouvelles plateformes de compostage pour :</w:t>
      </w:r>
    </w:p>
    <w:p w14:paraId="416CF0EE" w14:textId="51A5CCC0" w:rsidR="00EE5B3A" w:rsidRPr="00DC1F97" w:rsidRDefault="00EE5B3A" w:rsidP="00EE5B3A">
      <w:pPr>
        <w:pStyle w:val="Paragraphedeliste"/>
        <w:numPr>
          <w:ilvl w:val="0"/>
          <w:numId w:val="44"/>
        </w:numPr>
      </w:pPr>
      <w:r w:rsidRPr="00DC1F97">
        <w:t>Les déchets alimentaires collectés séparément ;</w:t>
      </w:r>
    </w:p>
    <w:p w14:paraId="60ACC8B3" w14:textId="30C062FC" w:rsidR="00EE5B3A" w:rsidRPr="00DC1F97" w:rsidRDefault="00EE5B3A" w:rsidP="00EE5B3A">
      <w:pPr>
        <w:pStyle w:val="Paragraphedeliste"/>
        <w:numPr>
          <w:ilvl w:val="0"/>
          <w:numId w:val="44"/>
        </w:numPr>
      </w:pPr>
      <w:r w:rsidRPr="00DC1F97">
        <w:t>Les déchets verts en mélang</w:t>
      </w:r>
      <w:r w:rsidR="007D073A" w:rsidRPr="00DC1F97">
        <w:t>e avec des déchets alimentaires ;</w:t>
      </w:r>
    </w:p>
    <w:p w14:paraId="1BCC6FC9" w14:textId="4D87235F" w:rsidR="007D073A" w:rsidRPr="00DC1F97" w:rsidRDefault="007D073A" w:rsidP="007D073A">
      <w:r w:rsidRPr="00DC1F97">
        <w:t>Mais également sur l’adaptation d’installations de compostage de déchets verts existantes pour l’accueil de déchets alimentaires.</w:t>
      </w:r>
    </w:p>
    <w:p w14:paraId="5464CB40" w14:textId="269D4F74" w:rsidR="00A057B8" w:rsidRPr="00DC1F97" w:rsidRDefault="00A057B8" w:rsidP="007D073A">
      <w:r w:rsidRPr="00DC1F97">
        <w:t xml:space="preserve">Les unités de compostage n’accueillant que des déchets verts ne sont pas éligibles au présent </w:t>
      </w:r>
      <w:r w:rsidR="00DC1F97" w:rsidRPr="00DC1F97">
        <w:t>appel à</w:t>
      </w:r>
      <w:r w:rsidRPr="00DC1F97">
        <w:t xml:space="preserve"> projets.</w:t>
      </w:r>
    </w:p>
    <w:p w14:paraId="5B8AB341" w14:textId="77777777" w:rsidR="007D073A" w:rsidRDefault="007D073A" w:rsidP="007D073A">
      <w:r w:rsidRPr="00DC1F97">
        <w:rPr>
          <w:b/>
        </w:rPr>
        <w:t>Une attention particulière sera portée aux nuisances potentielles des plateformes</w:t>
      </w:r>
      <w:r w:rsidRPr="00DC1F97">
        <w:t> : odeurs, bruit, conditions d’approvisionnement, gestion des eaux, etc.</w:t>
      </w:r>
    </w:p>
    <w:p w14:paraId="50FE2B3D" w14:textId="42DF94B7" w:rsidR="007D073A" w:rsidRDefault="007D073A" w:rsidP="007D073A"/>
    <w:p w14:paraId="68B7607B" w14:textId="77777777" w:rsidR="00753FC4" w:rsidRPr="00753FC4" w:rsidRDefault="00753FC4" w:rsidP="007D073A">
      <w:pPr>
        <w:pStyle w:val="Titre1"/>
        <w:rPr>
          <w:sz w:val="20"/>
        </w:rPr>
      </w:pPr>
    </w:p>
    <w:p w14:paraId="39A72FDA" w14:textId="3D4A5BFA" w:rsidR="008B4708" w:rsidRPr="007D073A" w:rsidRDefault="003145CE" w:rsidP="007D073A">
      <w:pPr>
        <w:pStyle w:val="Titre1"/>
      </w:pPr>
      <w:r>
        <w:t>VI</w:t>
      </w:r>
      <w:r w:rsidR="007D073A">
        <w:t>.</w:t>
      </w:r>
      <w:r w:rsidRPr="008B4708">
        <w:t xml:space="preserve"> </w:t>
      </w:r>
      <w:r w:rsidRPr="009173D1">
        <w:t>Modalités d’accompagnement</w:t>
      </w:r>
    </w:p>
    <w:p w14:paraId="390083A8" w14:textId="3CA51BB1" w:rsidR="0000483F" w:rsidRPr="00350554" w:rsidRDefault="0000483F" w:rsidP="00746944">
      <w:pPr>
        <w:ind w:right="-851"/>
        <w:rPr>
          <w:b/>
        </w:rPr>
      </w:pPr>
    </w:p>
    <w:tbl>
      <w:tblPr>
        <w:tblStyle w:val="Grilledutableau"/>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4961"/>
        <w:gridCol w:w="2410"/>
      </w:tblGrid>
      <w:tr w:rsidR="008B4708" w:rsidRPr="005B623F" w14:paraId="4BB0C0A2" w14:textId="77777777" w:rsidTr="00B126E0">
        <w:tc>
          <w:tcPr>
            <w:tcW w:w="3114" w:type="dxa"/>
            <w:tcBorders>
              <w:bottom w:val="single" w:sz="4" w:space="0" w:color="auto"/>
            </w:tcBorders>
            <w:vAlign w:val="center"/>
          </w:tcPr>
          <w:p w14:paraId="56531BE4" w14:textId="77777777" w:rsidR="008B4708" w:rsidRPr="005B623F" w:rsidRDefault="008B4708" w:rsidP="00DD756D">
            <w:pPr>
              <w:spacing w:before="80" w:after="80"/>
              <w:jc w:val="center"/>
              <w:rPr>
                <w:u w:val="single"/>
              </w:rPr>
            </w:pPr>
            <w:r w:rsidRPr="005B623F">
              <w:rPr>
                <w:u w:val="single"/>
              </w:rPr>
              <w:t>Opérations éligibles</w:t>
            </w:r>
          </w:p>
        </w:tc>
        <w:tc>
          <w:tcPr>
            <w:tcW w:w="4961" w:type="dxa"/>
            <w:tcBorders>
              <w:bottom w:val="single" w:sz="4" w:space="0" w:color="auto"/>
            </w:tcBorders>
            <w:vAlign w:val="center"/>
          </w:tcPr>
          <w:p w14:paraId="4D61D145" w14:textId="77777777" w:rsidR="008B4708" w:rsidRPr="005B623F" w:rsidRDefault="008B4708" w:rsidP="00DD756D">
            <w:pPr>
              <w:spacing w:before="80" w:after="80"/>
              <w:jc w:val="center"/>
              <w:rPr>
                <w:u w:val="single"/>
              </w:rPr>
            </w:pPr>
            <w:r w:rsidRPr="005B623F">
              <w:rPr>
                <w:u w:val="single"/>
              </w:rPr>
              <w:t>Dépenses éligibles</w:t>
            </w:r>
          </w:p>
        </w:tc>
        <w:tc>
          <w:tcPr>
            <w:tcW w:w="2410" w:type="dxa"/>
            <w:tcBorders>
              <w:bottom w:val="single" w:sz="4" w:space="0" w:color="auto"/>
            </w:tcBorders>
            <w:vAlign w:val="center"/>
          </w:tcPr>
          <w:p w14:paraId="3CA61CEF" w14:textId="77777777" w:rsidR="008B4708" w:rsidRPr="005B623F" w:rsidRDefault="008B4708" w:rsidP="00DD756D">
            <w:pPr>
              <w:spacing w:before="80" w:after="80"/>
              <w:jc w:val="center"/>
              <w:rPr>
                <w:u w:val="single"/>
              </w:rPr>
            </w:pPr>
            <w:r w:rsidRPr="005B623F">
              <w:rPr>
                <w:u w:val="single"/>
              </w:rPr>
              <w:t xml:space="preserve">Intensité </w:t>
            </w:r>
            <w:r w:rsidRPr="00B126E0">
              <w:rPr>
                <w:b/>
                <w:u w:val="single"/>
              </w:rPr>
              <w:t>maximale</w:t>
            </w:r>
            <w:r w:rsidRPr="005B623F">
              <w:rPr>
                <w:u w:val="single"/>
              </w:rPr>
              <w:t xml:space="preserve"> de l’aide ADEME</w:t>
            </w:r>
          </w:p>
        </w:tc>
      </w:tr>
      <w:tr w:rsidR="00AE2B8A" w:rsidRPr="005B623F" w14:paraId="79CB4CC6" w14:textId="77777777" w:rsidTr="00B126E0">
        <w:trPr>
          <w:trHeight w:val="427"/>
        </w:trPr>
        <w:tc>
          <w:tcPr>
            <w:tcW w:w="3114" w:type="dxa"/>
            <w:vMerge w:val="restart"/>
            <w:tcBorders>
              <w:top w:val="single" w:sz="4" w:space="0" w:color="auto"/>
              <w:left w:val="single" w:sz="4" w:space="0" w:color="auto"/>
              <w:bottom w:val="single" w:sz="4" w:space="0" w:color="auto"/>
              <w:right w:val="single" w:sz="4" w:space="0" w:color="auto"/>
            </w:tcBorders>
            <w:vAlign w:val="center"/>
          </w:tcPr>
          <w:p w14:paraId="0F9A9F01" w14:textId="19A54F01" w:rsidR="00AE2B8A" w:rsidRPr="00D737BD" w:rsidRDefault="00AE2B8A" w:rsidP="00DD756D">
            <w:pPr>
              <w:spacing w:before="80" w:after="80"/>
              <w:jc w:val="left"/>
              <w:rPr>
                <w:b/>
              </w:rPr>
            </w:pPr>
            <w:r w:rsidRPr="00D737BD">
              <w:rPr>
                <w:b/>
              </w:rPr>
              <w:t xml:space="preserve">Etudes </w:t>
            </w:r>
            <w:r>
              <w:rPr>
                <w:b/>
              </w:rPr>
              <w:t xml:space="preserve">(diagnostic </w:t>
            </w:r>
            <w:r w:rsidRPr="00D737BD">
              <w:rPr>
                <w:b/>
              </w:rPr>
              <w:t>schéma territorial, concertation, étude préalable, étude de faisabilité)</w:t>
            </w:r>
          </w:p>
        </w:tc>
        <w:tc>
          <w:tcPr>
            <w:tcW w:w="4961" w:type="dxa"/>
            <w:tcBorders>
              <w:top w:val="single" w:sz="4" w:space="0" w:color="auto"/>
              <w:left w:val="single" w:sz="4" w:space="0" w:color="auto"/>
              <w:bottom w:val="single" w:sz="4" w:space="0" w:color="auto"/>
              <w:right w:val="single" w:sz="4" w:space="0" w:color="auto"/>
            </w:tcBorders>
            <w:vAlign w:val="center"/>
          </w:tcPr>
          <w:p w14:paraId="62FF716F" w14:textId="7774588D" w:rsidR="00AE2B8A" w:rsidRPr="00755F0F" w:rsidRDefault="00AE2B8A" w:rsidP="00AE2B8A">
            <w:pPr>
              <w:spacing w:before="80" w:after="80"/>
              <w:jc w:val="center"/>
              <w:rPr>
                <w:b/>
                <w:i/>
              </w:rPr>
            </w:pPr>
            <w:r w:rsidRPr="00755F0F">
              <w:rPr>
                <w:b/>
                <w:i/>
              </w:rPr>
              <w:t>Coûts des prestations externes</w:t>
            </w:r>
          </w:p>
        </w:tc>
        <w:tc>
          <w:tcPr>
            <w:tcW w:w="2410" w:type="dxa"/>
            <w:tcBorders>
              <w:top w:val="single" w:sz="4" w:space="0" w:color="auto"/>
              <w:left w:val="single" w:sz="4" w:space="0" w:color="auto"/>
              <w:bottom w:val="dashSmallGap" w:sz="4" w:space="0" w:color="A6A6A6" w:themeColor="background1" w:themeShade="A6"/>
              <w:right w:val="single" w:sz="4" w:space="0" w:color="auto"/>
            </w:tcBorders>
            <w:vAlign w:val="center"/>
          </w:tcPr>
          <w:p w14:paraId="7CAFA7F5" w14:textId="2FB2BBCC" w:rsidR="00AE2B8A" w:rsidRPr="005B623F" w:rsidRDefault="00AE2B8A" w:rsidP="00746944">
            <w:pPr>
              <w:spacing w:before="80" w:after="80"/>
              <w:jc w:val="center"/>
            </w:pPr>
            <w:r w:rsidRPr="005B623F">
              <w:t>70 %</w:t>
            </w:r>
            <w:r>
              <w:t xml:space="preserve"> </w:t>
            </w:r>
            <w:r w:rsidR="00746944">
              <w:t>sur les plafond</w:t>
            </w:r>
            <w:r w:rsidR="00C24372">
              <w:t>s</w:t>
            </w:r>
            <w:r w:rsidR="00746944">
              <w:t xml:space="preserve"> </w:t>
            </w:r>
            <w:r>
              <w:t xml:space="preserve"> d’assiette</w:t>
            </w:r>
            <w:r w:rsidR="00746944">
              <w:t xml:space="preserve"> suivant</w:t>
            </w:r>
            <w:r w:rsidR="00C24372">
              <w:t>s</w:t>
            </w:r>
            <w:r w:rsidR="00746944">
              <w:t> :</w:t>
            </w:r>
          </w:p>
        </w:tc>
      </w:tr>
      <w:tr w:rsidR="00AE2B8A" w:rsidRPr="005B623F" w14:paraId="00D1F7A8" w14:textId="77777777" w:rsidTr="00B126E0">
        <w:trPr>
          <w:trHeight w:val="522"/>
        </w:trPr>
        <w:tc>
          <w:tcPr>
            <w:tcW w:w="3114" w:type="dxa"/>
            <w:vMerge/>
            <w:tcBorders>
              <w:top w:val="nil"/>
              <w:left w:val="single" w:sz="4" w:space="0" w:color="auto"/>
              <w:bottom w:val="single" w:sz="4" w:space="0" w:color="auto"/>
              <w:right w:val="single" w:sz="4" w:space="0" w:color="auto"/>
            </w:tcBorders>
            <w:vAlign w:val="center"/>
          </w:tcPr>
          <w:p w14:paraId="164935E9" w14:textId="77777777" w:rsidR="00AE2B8A" w:rsidRPr="00D737BD" w:rsidRDefault="00AE2B8A" w:rsidP="00AE2B8A">
            <w:pPr>
              <w:spacing w:before="80" w:after="80"/>
              <w:jc w:val="left"/>
              <w:rPr>
                <w:b/>
              </w:rPr>
            </w:pPr>
          </w:p>
        </w:tc>
        <w:tc>
          <w:tcPr>
            <w:tcW w:w="4961" w:type="dxa"/>
            <w:tcBorders>
              <w:top w:val="single" w:sz="4" w:space="0" w:color="auto"/>
              <w:left w:val="single" w:sz="4" w:space="0" w:color="auto"/>
              <w:bottom w:val="single" w:sz="4" w:space="0" w:color="auto"/>
              <w:right w:val="single" w:sz="4" w:space="0" w:color="auto"/>
            </w:tcBorders>
          </w:tcPr>
          <w:p w14:paraId="1715A3D1" w14:textId="036F83AB" w:rsidR="001322AF" w:rsidRDefault="001322AF" w:rsidP="001322AF">
            <w:pPr>
              <w:spacing w:before="80" w:after="80"/>
              <w:jc w:val="center"/>
              <w:rPr>
                <w:rFonts w:cs="Arial"/>
                <w:color w:val="000000"/>
                <w:szCs w:val="20"/>
                <w:lang w:eastAsia="fr-FR"/>
              </w:rPr>
            </w:pPr>
            <w:r>
              <w:rPr>
                <w:rFonts w:cs="Arial"/>
                <w:color w:val="000000"/>
                <w:szCs w:val="20"/>
                <w:lang w:eastAsia="fr-FR"/>
              </w:rPr>
              <w:t>Diagnostic territorial</w:t>
            </w:r>
          </w:p>
          <w:p w14:paraId="11A5DED3" w14:textId="0A284DEF" w:rsidR="007D073A" w:rsidRPr="001322AF" w:rsidRDefault="00AE2B8A" w:rsidP="001322AF">
            <w:pPr>
              <w:spacing w:before="80" w:after="80"/>
              <w:jc w:val="center"/>
              <w:rPr>
                <w:rFonts w:cs="Arial"/>
                <w:color w:val="000000"/>
                <w:szCs w:val="20"/>
                <w:lang w:eastAsia="fr-FR"/>
              </w:rPr>
            </w:pPr>
            <w:r w:rsidRPr="00FA7AB3">
              <w:rPr>
                <w:rFonts w:cs="Arial"/>
                <w:color w:val="000000"/>
                <w:szCs w:val="20"/>
                <w:lang w:eastAsia="fr-FR"/>
              </w:rPr>
              <w:t>Études de diagnostic</w:t>
            </w:r>
            <w:r>
              <w:rPr>
                <w:rFonts w:cs="Arial"/>
                <w:color w:val="000000"/>
                <w:szCs w:val="20"/>
                <w:lang w:eastAsia="fr-FR"/>
              </w:rPr>
              <w:t xml:space="preserve"> </w:t>
            </w:r>
            <w:r w:rsidR="007D073A">
              <w:rPr>
                <w:rFonts w:cs="Arial"/>
                <w:color w:val="000000"/>
                <w:szCs w:val="20"/>
                <w:lang w:eastAsia="fr-FR"/>
              </w:rPr>
              <w:t xml:space="preserve">de </w:t>
            </w:r>
            <w:r>
              <w:rPr>
                <w:rFonts w:cs="Arial"/>
                <w:color w:val="000000"/>
                <w:szCs w:val="20"/>
                <w:lang w:eastAsia="fr-FR"/>
              </w:rPr>
              <w:t>gestion de proximité</w:t>
            </w:r>
          </w:p>
        </w:tc>
        <w:tc>
          <w:tcPr>
            <w:tcW w:w="2410" w:type="dxa"/>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2361FA74" w14:textId="3F096337" w:rsidR="00AE2B8A" w:rsidRPr="005B623F" w:rsidRDefault="00AE2B8A" w:rsidP="00AE2B8A">
            <w:pPr>
              <w:spacing w:before="80" w:after="80"/>
              <w:jc w:val="center"/>
            </w:pPr>
            <w:r w:rsidRPr="00FA7AB3">
              <w:rPr>
                <w:rFonts w:cs="Arial"/>
                <w:color w:val="000000"/>
                <w:szCs w:val="20"/>
                <w:lang w:eastAsia="fr-FR"/>
              </w:rPr>
              <w:t>50 k€</w:t>
            </w:r>
          </w:p>
        </w:tc>
      </w:tr>
      <w:tr w:rsidR="00AE2B8A" w:rsidRPr="005B623F" w14:paraId="0B4F1AA9" w14:textId="77777777" w:rsidTr="00B126E0">
        <w:trPr>
          <w:trHeight w:val="827"/>
        </w:trPr>
        <w:tc>
          <w:tcPr>
            <w:tcW w:w="3114" w:type="dxa"/>
            <w:vMerge/>
            <w:tcBorders>
              <w:top w:val="nil"/>
              <w:left w:val="single" w:sz="4" w:space="0" w:color="auto"/>
              <w:bottom w:val="single" w:sz="4" w:space="0" w:color="auto"/>
              <w:right w:val="single" w:sz="4" w:space="0" w:color="auto"/>
            </w:tcBorders>
            <w:vAlign w:val="center"/>
          </w:tcPr>
          <w:p w14:paraId="41E01F98" w14:textId="77777777" w:rsidR="00AE2B8A" w:rsidRPr="00D737BD" w:rsidRDefault="00AE2B8A" w:rsidP="00AE2B8A">
            <w:pPr>
              <w:spacing w:before="80" w:after="80"/>
              <w:jc w:val="left"/>
              <w:rPr>
                <w:b/>
              </w:rPr>
            </w:pPr>
          </w:p>
        </w:tc>
        <w:tc>
          <w:tcPr>
            <w:tcW w:w="4961" w:type="dxa"/>
            <w:tcBorders>
              <w:top w:val="single" w:sz="4" w:space="0" w:color="auto"/>
              <w:left w:val="single" w:sz="4" w:space="0" w:color="auto"/>
              <w:bottom w:val="single" w:sz="4" w:space="0" w:color="auto"/>
              <w:right w:val="single" w:sz="4" w:space="0" w:color="auto"/>
            </w:tcBorders>
            <w:vAlign w:val="center"/>
          </w:tcPr>
          <w:p w14:paraId="4E28F272" w14:textId="279BE7A5" w:rsidR="001322AF" w:rsidRPr="001322AF" w:rsidRDefault="00AE2B8A" w:rsidP="00B126E0">
            <w:pPr>
              <w:spacing w:before="80" w:after="80"/>
              <w:jc w:val="center"/>
              <w:rPr>
                <w:rFonts w:cs="Arial"/>
                <w:color w:val="000000"/>
                <w:szCs w:val="20"/>
                <w:lang w:eastAsia="fr-FR"/>
              </w:rPr>
            </w:pPr>
            <w:r w:rsidRPr="00064612">
              <w:rPr>
                <w:rFonts w:cs="Arial"/>
                <w:color w:val="000000"/>
                <w:szCs w:val="20"/>
                <w:lang w:eastAsia="fr-FR"/>
              </w:rPr>
              <w:t>Etude préalable à la mise en place d’une</w:t>
            </w:r>
            <w:r w:rsidR="00B126E0">
              <w:rPr>
                <w:rFonts w:cs="Arial"/>
                <w:color w:val="000000"/>
                <w:szCs w:val="20"/>
                <w:lang w:eastAsia="fr-FR"/>
              </w:rPr>
              <w:t xml:space="preserve"> collecte séparée des biodéchets</w:t>
            </w:r>
          </w:p>
        </w:tc>
        <w:tc>
          <w:tcPr>
            <w:tcW w:w="2410" w:type="dxa"/>
            <w:tcBorders>
              <w:top w:val="dashSmallGap" w:sz="4" w:space="0" w:color="A6A6A6" w:themeColor="background1" w:themeShade="A6"/>
              <w:left w:val="single" w:sz="4" w:space="0" w:color="auto"/>
              <w:bottom w:val="dashSmallGap" w:sz="4" w:space="0" w:color="A6A6A6" w:themeColor="background1" w:themeShade="A6"/>
              <w:right w:val="single" w:sz="4" w:space="0" w:color="auto"/>
            </w:tcBorders>
            <w:vAlign w:val="center"/>
          </w:tcPr>
          <w:p w14:paraId="13E9CC4B" w14:textId="66300AD9" w:rsidR="00AE2B8A" w:rsidRPr="005B623F" w:rsidRDefault="00AE2B8A" w:rsidP="00AE2B8A">
            <w:pPr>
              <w:spacing w:before="80" w:after="80"/>
              <w:jc w:val="center"/>
            </w:pPr>
            <w:r>
              <w:rPr>
                <w:rFonts w:cs="Arial"/>
                <w:color w:val="000000"/>
                <w:szCs w:val="20"/>
                <w:lang w:eastAsia="fr-FR"/>
              </w:rPr>
              <w:t>100 k€</w:t>
            </w:r>
          </w:p>
        </w:tc>
      </w:tr>
      <w:tr w:rsidR="00AE2B8A" w:rsidRPr="005B623F" w14:paraId="2CB25A4F" w14:textId="77777777" w:rsidTr="00B126E0">
        <w:trPr>
          <w:trHeight w:val="555"/>
        </w:trPr>
        <w:tc>
          <w:tcPr>
            <w:tcW w:w="3114" w:type="dxa"/>
            <w:vMerge/>
            <w:tcBorders>
              <w:top w:val="nil"/>
              <w:left w:val="single" w:sz="4" w:space="0" w:color="auto"/>
              <w:bottom w:val="single" w:sz="4" w:space="0" w:color="auto"/>
              <w:right w:val="single" w:sz="4" w:space="0" w:color="auto"/>
            </w:tcBorders>
            <w:vAlign w:val="center"/>
          </w:tcPr>
          <w:p w14:paraId="745B8FD8" w14:textId="77777777" w:rsidR="00AE2B8A" w:rsidRPr="00D737BD" w:rsidRDefault="00AE2B8A" w:rsidP="00AE2B8A">
            <w:pPr>
              <w:spacing w:before="80" w:after="80"/>
              <w:jc w:val="left"/>
              <w:rPr>
                <w:b/>
              </w:rPr>
            </w:pPr>
          </w:p>
        </w:tc>
        <w:tc>
          <w:tcPr>
            <w:tcW w:w="4961" w:type="dxa"/>
            <w:tcBorders>
              <w:top w:val="single" w:sz="4" w:space="0" w:color="auto"/>
              <w:left w:val="single" w:sz="4" w:space="0" w:color="auto"/>
              <w:bottom w:val="single" w:sz="4" w:space="0" w:color="auto"/>
              <w:right w:val="single" w:sz="4" w:space="0" w:color="auto"/>
            </w:tcBorders>
            <w:vAlign w:val="center"/>
          </w:tcPr>
          <w:p w14:paraId="77AA562A" w14:textId="28AE42F0" w:rsidR="007D073A" w:rsidRPr="00DC1F97" w:rsidRDefault="007D073A" w:rsidP="001322AF">
            <w:pPr>
              <w:spacing w:before="80" w:after="80"/>
              <w:jc w:val="center"/>
            </w:pPr>
            <w:r w:rsidRPr="00DC1F97">
              <w:t>Etude préalable à l’investissement dans une installation de traitement</w:t>
            </w:r>
            <w:r w:rsidR="00A057B8" w:rsidRPr="00DC1F97">
              <w:t xml:space="preserve"> par compostage</w:t>
            </w:r>
          </w:p>
        </w:tc>
        <w:tc>
          <w:tcPr>
            <w:tcW w:w="2410" w:type="dxa"/>
            <w:tcBorders>
              <w:top w:val="dashSmallGap" w:sz="4" w:space="0" w:color="A6A6A6" w:themeColor="background1" w:themeShade="A6"/>
              <w:left w:val="single" w:sz="4" w:space="0" w:color="auto"/>
              <w:bottom w:val="single" w:sz="4" w:space="0" w:color="auto"/>
              <w:right w:val="single" w:sz="4" w:space="0" w:color="auto"/>
            </w:tcBorders>
            <w:vAlign w:val="center"/>
          </w:tcPr>
          <w:p w14:paraId="5CB87D78" w14:textId="6FA921DB" w:rsidR="00AE2B8A" w:rsidRPr="00DC1F97" w:rsidRDefault="00C24372" w:rsidP="00AE2B8A">
            <w:pPr>
              <w:spacing w:before="80" w:after="80"/>
              <w:jc w:val="center"/>
            </w:pPr>
            <w:r>
              <w:t>100</w:t>
            </w:r>
            <w:r w:rsidR="00B620F3">
              <w:t xml:space="preserve"> </w:t>
            </w:r>
            <w:r>
              <w:t>k€</w:t>
            </w:r>
          </w:p>
        </w:tc>
      </w:tr>
      <w:tr w:rsidR="00746944" w:rsidRPr="005B623F" w14:paraId="46E4ED87" w14:textId="77777777" w:rsidTr="0086386C">
        <w:trPr>
          <w:trHeight w:val="901"/>
        </w:trPr>
        <w:tc>
          <w:tcPr>
            <w:tcW w:w="3114" w:type="dxa"/>
            <w:vMerge w:val="restart"/>
            <w:tcBorders>
              <w:top w:val="single" w:sz="4" w:space="0" w:color="auto"/>
              <w:left w:val="single" w:sz="4" w:space="0" w:color="auto"/>
              <w:bottom w:val="single" w:sz="4" w:space="0" w:color="auto"/>
              <w:right w:val="single" w:sz="4" w:space="0" w:color="auto"/>
            </w:tcBorders>
            <w:vAlign w:val="center"/>
          </w:tcPr>
          <w:p w14:paraId="074D41FE" w14:textId="7C119248" w:rsidR="00746944" w:rsidRPr="005B623F" w:rsidRDefault="00746944" w:rsidP="00AE2B8A">
            <w:pPr>
              <w:spacing w:before="80" w:after="80"/>
              <w:jc w:val="left"/>
              <w:rPr>
                <w:u w:val="single"/>
              </w:rPr>
            </w:pPr>
            <w:r>
              <w:rPr>
                <w:b/>
              </w:rPr>
              <w:t xml:space="preserve">Renforcement du déploiement des </w:t>
            </w:r>
            <w:r w:rsidRPr="006729A7">
              <w:rPr>
                <w:b/>
              </w:rPr>
              <w:t>opérations de gestion de proximité des biodéchets </w:t>
            </w:r>
          </w:p>
        </w:tc>
        <w:tc>
          <w:tcPr>
            <w:tcW w:w="4961" w:type="dxa"/>
            <w:tcBorders>
              <w:top w:val="single" w:sz="4" w:space="0" w:color="auto"/>
              <w:left w:val="single" w:sz="4" w:space="0" w:color="auto"/>
              <w:bottom w:val="single" w:sz="4" w:space="0" w:color="auto"/>
              <w:right w:val="single" w:sz="4" w:space="0" w:color="auto"/>
            </w:tcBorders>
          </w:tcPr>
          <w:p w14:paraId="65C28C99" w14:textId="77777777" w:rsidR="00B126E0" w:rsidRDefault="00B126E0" w:rsidP="00B620F3">
            <w:pPr>
              <w:spacing w:before="0"/>
              <w:jc w:val="center"/>
            </w:pPr>
          </w:p>
          <w:p w14:paraId="7550E185" w14:textId="77777777" w:rsidR="00746944" w:rsidRDefault="00746944" w:rsidP="00B620F3">
            <w:pPr>
              <w:spacing w:before="0"/>
              <w:jc w:val="center"/>
            </w:pPr>
            <w:r w:rsidRPr="00496049">
              <w:t>Investissement équipement de prévention :  compost</w:t>
            </w:r>
            <w:r w:rsidR="00AC5BD5">
              <w:t>age</w:t>
            </w:r>
            <w:r w:rsidRPr="00496049">
              <w:t xml:space="preserve"> partagé</w:t>
            </w:r>
            <w:r w:rsidR="00AC5BD5">
              <w:t xml:space="preserve"> (collectif)</w:t>
            </w:r>
            <w:r w:rsidRPr="00496049">
              <w:t xml:space="preserve">, en pied d’immeuble ou de quartier, composteurs autonomes en établissement, </w:t>
            </w:r>
            <w:r w:rsidR="00AC5BD5">
              <w:t>broyeurs de végétaux</w:t>
            </w:r>
            <w:r w:rsidR="00B620F3">
              <w:t xml:space="preserve"> (sous conditions – cf. annexe 1) </w:t>
            </w:r>
            <w:r w:rsidR="00AC5BD5">
              <w:t>et compostage électromécanique (sous conditions – cf. annexe</w:t>
            </w:r>
            <w:r w:rsidR="00B620F3">
              <w:t xml:space="preserve"> 1</w:t>
            </w:r>
            <w:r w:rsidR="00AC5BD5">
              <w:t>)</w:t>
            </w:r>
          </w:p>
          <w:p w14:paraId="39E95CB4" w14:textId="367D05B6" w:rsidR="00B126E0" w:rsidRPr="00496049" w:rsidRDefault="00B126E0" w:rsidP="00B126E0">
            <w:pPr>
              <w:spacing w:before="0"/>
            </w:pPr>
          </w:p>
        </w:tc>
        <w:tc>
          <w:tcPr>
            <w:tcW w:w="2410" w:type="dxa"/>
            <w:tcBorders>
              <w:top w:val="single" w:sz="4" w:space="0" w:color="auto"/>
              <w:left w:val="single" w:sz="4" w:space="0" w:color="auto"/>
              <w:bottom w:val="single" w:sz="4" w:space="0" w:color="auto"/>
              <w:right w:val="single" w:sz="4" w:space="0" w:color="auto"/>
            </w:tcBorders>
            <w:vAlign w:val="center"/>
          </w:tcPr>
          <w:p w14:paraId="48963E68" w14:textId="7CDBAB02" w:rsidR="00746944" w:rsidRPr="005B623F" w:rsidRDefault="00B126E0" w:rsidP="00B126E0">
            <w:pPr>
              <w:spacing w:before="80" w:after="80"/>
              <w:jc w:val="center"/>
            </w:pPr>
            <w:r>
              <w:t>5</w:t>
            </w:r>
            <w:r w:rsidR="00746944" w:rsidRPr="005B623F">
              <w:t>5 %</w:t>
            </w:r>
          </w:p>
        </w:tc>
      </w:tr>
      <w:tr w:rsidR="00746944" w:rsidRPr="005B623F" w14:paraId="3F98F2A8" w14:textId="77777777" w:rsidTr="0086386C">
        <w:tc>
          <w:tcPr>
            <w:tcW w:w="3114" w:type="dxa"/>
            <w:vMerge/>
            <w:tcBorders>
              <w:top w:val="single" w:sz="4" w:space="0" w:color="auto"/>
              <w:left w:val="single" w:sz="4" w:space="0" w:color="auto"/>
              <w:bottom w:val="single" w:sz="4" w:space="0" w:color="auto"/>
              <w:right w:val="single" w:sz="4" w:space="0" w:color="auto"/>
            </w:tcBorders>
            <w:vAlign w:val="center"/>
          </w:tcPr>
          <w:p w14:paraId="57793466" w14:textId="6618FC66" w:rsidR="00746944" w:rsidRPr="005B623F" w:rsidRDefault="00746944" w:rsidP="00AE2B8A">
            <w:pPr>
              <w:spacing w:before="80" w:after="80"/>
              <w:jc w:val="left"/>
              <w:rPr>
                <w:u w:val="single"/>
              </w:rPr>
            </w:pPr>
          </w:p>
        </w:tc>
        <w:tc>
          <w:tcPr>
            <w:tcW w:w="4961" w:type="dxa"/>
            <w:tcBorders>
              <w:top w:val="single" w:sz="4" w:space="0" w:color="auto"/>
              <w:left w:val="single" w:sz="4" w:space="0" w:color="auto"/>
              <w:bottom w:val="single" w:sz="4" w:space="0" w:color="auto"/>
              <w:right w:val="single" w:sz="4" w:space="0" w:color="auto"/>
            </w:tcBorders>
          </w:tcPr>
          <w:p w14:paraId="2F8378A9" w14:textId="77777777" w:rsidR="00B126E0" w:rsidRDefault="00B126E0" w:rsidP="00AE2B8A">
            <w:pPr>
              <w:spacing w:before="80" w:after="80"/>
              <w:jc w:val="center"/>
            </w:pPr>
          </w:p>
          <w:p w14:paraId="5FDC1D85" w14:textId="297C51A4" w:rsidR="00B126E0" w:rsidRPr="005B623F" w:rsidRDefault="00746944" w:rsidP="00B126E0">
            <w:pPr>
              <w:spacing w:before="80" w:after="80"/>
              <w:jc w:val="center"/>
            </w:pPr>
            <w:r w:rsidRPr="00496049">
              <w:t>Dépenses de communi</w:t>
            </w:r>
            <w:r w:rsidR="00B126E0">
              <w:t xml:space="preserve">cation, animation et formation </w:t>
            </w:r>
            <w:r w:rsidRPr="00496049">
              <w:t>sur la gestion de proximité et les alternatives</w:t>
            </w:r>
            <w:r w:rsidRPr="005B623F">
              <w:t xml:space="preserve"> au brûlage de déchets verts</w:t>
            </w:r>
          </w:p>
        </w:tc>
        <w:tc>
          <w:tcPr>
            <w:tcW w:w="2410" w:type="dxa"/>
            <w:tcBorders>
              <w:top w:val="single" w:sz="4" w:space="0" w:color="auto"/>
              <w:left w:val="single" w:sz="4" w:space="0" w:color="auto"/>
              <w:bottom w:val="single" w:sz="4" w:space="0" w:color="auto"/>
              <w:right w:val="single" w:sz="4" w:space="0" w:color="auto"/>
            </w:tcBorders>
            <w:vAlign w:val="center"/>
          </w:tcPr>
          <w:p w14:paraId="1A6569CF" w14:textId="77777777" w:rsidR="00746944" w:rsidRPr="005B623F" w:rsidRDefault="00746944" w:rsidP="00AE2B8A">
            <w:pPr>
              <w:spacing w:before="80" w:after="80"/>
              <w:jc w:val="center"/>
            </w:pPr>
            <w:r w:rsidRPr="005B623F">
              <w:t>55 %</w:t>
            </w:r>
          </w:p>
        </w:tc>
      </w:tr>
      <w:tr w:rsidR="00AE2B8A" w14:paraId="64B8A5F8" w14:textId="77777777" w:rsidTr="00863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3114" w:type="dxa"/>
            <w:vMerge w:val="restart"/>
            <w:tcBorders>
              <w:top w:val="single" w:sz="4" w:space="0" w:color="auto"/>
            </w:tcBorders>
          </w:tcPr>
          <w:p w14:paraId="0D9C0DAF" w14:textId="77777777" w:rsidR="00746944" w:rsidRDefault="00746944" w:rsidP="00746944">
            <w:pPr>
              <w:spacing w:before="80" w:after="80"/>
              <w:jc w:val="center"/>
              <w:rPr>
                <w:b/>
              </w:rPr>
            </w:pPr>
          </w:p>
          <w:p w14:paraId="4E81B782" w14:textId="4DE96387" w:rsidR="00746944" w:rsidRDefault="00AE2B8A" w:rsidP="00746944">
            <w:pPr>
              <w:spacing w:before="80" w:after="80"/>
              <w:jc w:val="center"/>
              <w:rPr>
                <w:b/>
              </w:rPr>
            </w:pPr>
            <w:r w:rsidRPr="00B103A1">
              <w:rPr>
                <w:b/>
              </w:rPr>
              <w:t xml:space="preserve">Expérimentation de collecte séparée </w:t>
            </w:r>
          </w:p>
          <w:p w14:paraId="096D8A26" w14:textId="78D996F9" w:rsidR="00AE2B8A" w:rsidRPr="00B103A1" w:rsidRDefault="00AE2B8A" w:rsidP="00746944">
            <w:pPr>
              <w:spacing w:before="80" w:after="80"/>
              <w:jc w:val="center"/>
              <w:rPr>
                <w:b/>
              </w:rPr>
            </w:pPr>
            <w:r w:rsidRPr="00B103A1">
              <w:rPr>
                <w:b/>
              </w:rPr>
              <w:t>des biodéchets</w:t>
            </w:r>
          </w:p>
        </w:tc>
        <w:tc>
          <w:tcPr>
            <w:tcW w:w="4961" w:type="dxa"/>
            <w:tcBorders>
              <w:top w:val="single" w:sz="4" w:space="0" w:color="auto"/>
            </w:tcBorders>
          </w:tcPr>
          <w:p w14:paraId="6B91A41D" w14:textId="086AB4E9" w:rsidR="00AE2B8A" w:rsidRDefault="00B126E0" w:rsidP="00B126E0">
            <w:pPr>
              <w:jc w:val="left"/>
            </w:pPr>
            <w:r>
              <w:t>. D</w:t>
            </w:r>
            <w:r w:rsidR="00AE2B8A" w:rsidRPr="00332397">
              <w:t>épenses d’AMO liées au suivi de l’expérimentation</w:t>
            </w:r>
          </w:p>
        </w:tc>
        <w:tc>
          <w:tcPr>
            <w:tcW w:w="2410" w:type="dxa"/>
            <w:vMerge w:val="restart"/>
            <w:tcBorders>
              <w:top w:val="single" w:sz="4" w:space="0" w:color="auto"/>
            </w:tcBorders>
          </w:tcPr>
          <w:p w14:paraId="02FF46F5" w14:textId="77777777" w:rsidR="00B126E0" w:rsidRDefault="00B126E0" w:rsidP="00AE2B8A">
            <w:pPr>
              <w:spacing w:before="80" w:after="80"/>
              <w:jc w:val="center"/>
            </w:pPr>
          </w:p>
          <w:p w14:paraId="4D51EE4F" w14:textId="7A2F488D" w:rsidR="00AE2B8A" w:rsidRDefault="00AE2B8A" w:rsidP="00AE2B8A">
            <w:pPr>
              <w:spacing w:before="80" w:after="80"/>
              <w:jc w:val="center"/>
            </w:pPr>
            <w:r>
              <w:t>70 %</w:t>
            </w:r>
          </w:p>
          <w:p w14:paraId="5B303D9D" w14:textId="7CC5E68B" w:rsidR="00AE2B8A" w:rsidRDefault="00B126E0" w:rsidP="00B126E0">
            <w:pPr>
              <w:jc w:val="center"/>
            </w:pPr>
            <w:r w:rsidRPr="007B55AD">
              <w:t>(Plafond d’assiette : 200</w:t>
            </w:r>
            <w:r w:rsidR="007B55AD" w:rsidRPr="007B55AD">
              <w:t xml:space="preserve"> k€</w:t>
            </w:r>
            <w:r w:rsidR="00AE2B8A" w:rsidRPr="007B55AD">
              <w:t>)</w:t>
            </w:r>
          </w:p>
        </w:tc>
      </w:tr>
      <w:tr w:rsidR="00AE2B8A" w14:paraId="5FAF73A6" w14:textId="77777777" w:rsidTr="0049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114" w:type="dxa"/>
            <w:vMerge/>
          </w:tcPr>
          <w:p w14:paraId="723F0EC5" w14:textId="77777777" w:rsidR="00AE2B8A" w:rsidRPr="00B103A1" w:rsidRDefault="00AE2B8A" w:rsidP="00AE2B8A">
            <w:pPr>
              <w:spacing w:before="80" w:after="80"/>
              <w:jc w:val="left"/>
              <w:rPr>
                <w:b/>
              </w:rPr>
            </w:pPr>
          </w:p>
        </w:tc>
        <w:tc>
          <w:tcPr>
            <w:tcW w:w="4961" w:type="dxa"/>
          </w:tcPr>
          <w:p w14:paraId="0070E5BC" w14:textId="77777777" w:rsidR="00B126E0" w:rsidRDefault="00B126E0" w:rsidP="00B126E0">
            <w:pPr>
              <w:spacing w:before="0"/>
              <w:jc w:val="left"/>
            </w:pPr>
            <w:r>
              <w:t>. F</w:t>
            </w:r>
            <w:r w:rsidR="00AE2B8A" w:rsidRPr="00DD0F54">
              <w:t>ourniture des dispositifs de précollecte individuels (bioseaux, sacs biodégradables) et de collecte (bacs/contenants)</w:t>
            </w:r>
          </w:p>
          <w:p w14:paraId="782698EB" w14:textId="05B284FE" w:rsidR="00AE2B8A" w:rsidRPr="00332397" w:rsidRDefault="00B126E0" w:rsidP="00B126E0">
            <w:pPr>
              <w:spacing w:before="0"/>
              <w:jc w:val="left"/>
            </w:pPr>
            <w:r>
              <w:t>. D</w:t>
            </w:r>
            <w:r w:rsidR="00AE2B8A" w:rsidRPr="00DD0F54">
              <w:t>istribution et le marquage des contenants.</w:t>
            </w:r>
          </w:p>
        </w:tc>
        <w:tc>
          <w:tcPr>
            <w:tcW w:w="2410" w:type="dxa"/>
            <w:vMerge/>
          </w:tcPr>
          <w:p w14:paraId="7BC56B39" w14:textId="77777777" w:rsidR="00AE2B8A" w:rsidRDefault="00AE2B8A" w:rsidP="00AE2B8A">
            <w:pPr>
              <w:spacing w:before="80" w:after="80"/>
              <w:jc w:val="center"/>
            </w:pPr>
          </w:p>
        </w:tc>
      </w:tr>
      <w:tr w:rsidR="00AE2B8A" w14:paraId="7CA4C848" w14:textId="77777777" w:rsidTr="0049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114" w:type="dxa"/>
            <w:vMerge/>
          </w:tcPr>
          <w:p w14:paraId="2BEEB37B" w14:textId="77777777" w:rsidR="00AE2B8A" w:rsidRPr="00B103A1" w:rsidRDefault="00AE2B8A" w:rsidP="00AE2B8A">
            <w:pPr>
              <w:spacing w:before="80" w:after="80"/>
              <w:jc w:val="left"/>
              <w:rPr>
                <w:b/>
              </w:rPr>
            </w:pPr>
          </w:p>
        </w:tc>
        <w:tc>
          <w:tcPr>
            <w:tcW w:w="4961" w:type="dxa"/>
          </w:tcPr>
          <w:p w14:paraId="7F682DCD" w14:textId="37561EB1" w:rsidR="00AE2B8A" w:rsidRPr="00DD0F54" w:rsidRDefault="00B126E0" w:rsidP="00B126E0">
            <w:pPr>
              <w:spacing w:before="80"/>
              <w:jc w:val="left"/>
            </w:pPr>
            <w:r>
              <w:t>. F</w:t>
            </w:r>
            <w:r w:rsidR="00AE2B8A" w:rsidRPr="00DD0F54">
              <w:t>rais de communication liés à l’expérimentation</w:t>
            </w:r>
          </w:p>
        </w:tc>
        <w:tc>
          <w:tcPr>
            <w:tcW w:w="2410" w:type="dxa"/>
            <w:vMerge/>
          </w:tcPr>
          <w:p w14:paraId="5AB2138C" w14:textId="77777777" w:rsidR="00AE2B8A" w:rsidRDefault="00AE2B8A" w:rsidP="00AE2B8A">
            <w:pPr>
              <w:spacing w:before="80" w:after="80"/>
              <w:jc w:val="center"/>
            </w:pPr>
          </w:p>
        </w:tc>
      </w:tr>
      <w:tr w:rsidR="00AE2B8A" w14:paraId="4582FB3E" w14:textId="77777777" w:rsidTr="00B12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tcPr>
          <w:p w14:paraId="1AC4178D" w14:textId="77777777" w:rsidR="00AE2B8A" w:rsidRPr="00B103A1" w:rsidRDefault="00AE2B8A" w:rsidP="00AE2B8A">
            <w:pPr>
              <w:spacing w:before="80" w:after="80"/>
              <w:jc w:val="left"/>
              <w:rPr>
                <w:b/>
              </w:rPr>
            </w:pPr>
            <w:r w:rsidRPr="00B103A1">
              <w:rPr>
                <w:b/>
              </w:rPr>
              <w:t>Mise en place effective ou extension de collecte séparée des biodéchets</w:t>
            </w:r>
          </w:p>
        </w:tc>
        <w:tc>
          <w:tcPr>
            <w:tcW w:w="4961" w:type="dxa"/>
            <w:vAlign w:val="center"/>
          </w:tcPr>
          <w:p w14:paraId="6FC84ABF" w14:textId="5CFACD0B" w:rsidR="00AE2B8A" w:rsidRDefault="00AE2B8A" w:rsidP="00B126E0">
            <w:pPr>
              <w:spacing w:before="80" w:after="80"/>
              <w:jc w:val="center"/>
            </w:pPr>
            <w:r>
              <w:t xml:space="preserve">Investissements </w:t>
            </w:r>
            <w:r w:rsidRPr="00DD0F54">
              <w:t xml:space="preserve">(précollecte, collecte, adaptation des bennes de collecte) </w:t>
            </w:r>
            <w:r>
              <w:t>et frais liés aux actions de communication</w:t>
            </w:r>
          </w:p>
        </w:tc>
        <w:tc>
          <w:tcPr>
            <w:tcW w:w="2410" w:type="dxa"/>
          </w:tcPr>
          <w:p w14:paraId="71E86903" w14:textId="77777777" w:rsidR="00AE2B8A" w:rsidRDefault="00AE2B8A" w:rsidP="00AE2B8A">
            <w:pPr>
              <w:spacing w:before="80" w:after="80"/>
              <w:jc w:val="center"/>
            </w:pPr>
            <w:r>
              <w:t>10 €/habitant desservi</w:t>
            </w:r>
          </w:p>
          <w:p w14:paraId="7C117A05" w14:textId="5EF91AA0" w:rsidR="00AE2B8A" w:rsidRDefault="00AE2B8A" w:rsidP="00AE2B8A">
            <w:pPr>
              <w:spacing w:before="80" w:after="80"/>
              <w:jc w:val="center"/>
            </w:pPr>
            <w:r>
              <w:t xml:space="preserve"> </w:t>
            </w:r>
            <w:r w:rsidR="0008357D">
              <w:t>(</w:t>
            </w:r>
            <w:r w:rsidR="0008357D" w:rsidRPr="00755F0F">
              <w:rPr>
                <w:b/>
              </w:rPr>
              <w:t>max</w:t>
            </w:r>
            <w:r w:rsidR="0008357D">
              <w:t xml:space="preserve"> </w:t>
            </w:r>
            <w:r>
              <w:t>55% d’aide ADEME)</w:t>
            </w:r>
          </w:p>
        </w:tc>
      </w:tr>
      <w:tr w:rsidR="00755F0F" w:rsidRPr="00755F0F" w14:paraId="6B522211" w14:textId="77777777" w:rsidTr="00B12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tcPr>
          <w:p w14:paraId="2ABB121F" w14:textId="70B863C6" w:rsidR="00746944" w:rsidRPr="00755F0F" w:rsidRDefault="00746944" w:rsidP="00DC1F97">
            <w:pPr>
              <w:spacing w:before="80" w:after="80"/>
              <w:jc w:val="left"/>
              <w:rPr>
                <w:b/>
              </w:rPr>
            </w:pPr>
            <w:r w:rsidRPr="00755F0F">
              <w:rPr>
                <w:b/>
              </w:rPr>
              <w:t>Chargé de mission pour mobiliser les producteurs de biodéchets ou relais de terrain dédié à la gestion de proximité*</w:t>
            </w:r>
          </w:p>
        </w:tc>
        <w:tc>
          <w:tcPr>
            <w:tcW w:w="4961" w:type="dxa"/>
            <w:vAlign w:val="center"/>
          </w:tcPr>
          <w:p w14:paraId="65B2E85B" w14:textId="451211DE" w:rsidR="00746944" w:rsidRPr="00755F0F" w:rsidRDefault="00746944" w:rsidP="00B126E0">
            <w:pPr>
              <w:spacing w:before="80" w:after="80"/>
              <w:jc w:val="center"/>
            </w:pPr>
            <w:r w:rsidRPr="00755F0F">
              <w:t>Apporter un conseil technique, mener des action</w:t>
            </w:r>
            <w:r w:rsidR="00A17326">
              <w:t>s</w:t>
            </w:r>
            <w:r w:rsidRPr="00755F0F">
              <w:t xml:space="preserve"> d’animation, de gestion</w:t>
            </w:r>
            <w:r w:rsidRPr="00755F0F">
              <w:rPr>
                <w:rFonts w:cs="Arial"/>
                <w:szCs w:val="20"/>
              </w:rPr>
              <w:t xml:space="preserve"> de partenariat et de réseaux d'acteurs, animation de groupes de travail, montage d'opérations collectives</w:t>
            </w:r>
          </w:p>
        </w:tc>
        <w:tc>
          <w:tcPr>
            <w:tcW w:w="2410" w:type="dxa"/>
            <w:vAlign w:val="center"/>
          </w:tcPr>
          <w:p w14:paraId="1B88D4A3" w14:textId="503A6FF5" w:rsidR="00746944" w:rsidRPr="00755F0F" w:rsidRDefault="00746944" w:rsidP="00B126E0">
            <w:pPr>
              <w:spacing w:before="80" w:after="80"/>
              <w:jc w:val="center"/>
            </w:pPr>
            <w:r w:rsidRPr="00755F0F">
              <w:rPr>
                <w:rFonts w:cs="Arial"/>
                <w:szCs w:val="20"/>
              </w:rPr>
              <w:t>30 000 € par ETPT par an pendant 3 ans</w:t>
            </w:r>
          </w:p>
        </w:tc>
      </w:tr>
      <w:tr w:rsidR="00373DB3" w:rsidRPr="00755F0F" w14:paraId="51BB4DDB" w14:textId="77777777" w:rsidTr="00496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tcPr>
          <w:p w14:paraId="6F781036" w14:textId="3ED4534A" w:rsidR="00373DB3" w:rsidRPr="00A119C4" w:rsidRDefault="00373DB3" w:rsidP="00DC1F97">
            <w:pPr>
              <w:spacing w:before="80" w:after="80"/>
              <w:jc w:val="left"/>
              <w:rPr>
                <w:b/>
              </w:rPr>
            </w:pPr>
            <w:r w:rsidRPr="00A119C4">
              <w:rPr>
                <w:b/>
              </w:rPr>
              <w:t xml:space="preserve">Mise en place d’une plateforme de compostage à maîtrise d’ouvrage publique </w:t>
            </w:r>
          </w:p>
        </w:tc>
        <w:tc>
          <w:tcPr>
            <w:tcW w:w="4961" w:type="dxa"/>
          </w:tcPr>
          <w:p w14:paraId="6C12CE44" w14:textId="6750B36E" w:rsidR="00373DB3" w:rsidRPr="00A119C4" w:rsidRDefault="00373DB3" w:rsidP="00373DB3">
            <w:pPr>
              <w:spacing w:before="80" w:after="80"/>
              <w:jc w:val="center"/>
            </w:pPr>
            <w:r w:rsidRPr="00A119C4">
              <w:t xml:space="preserve">Investissements liés à la mise en place d’une installation de traitement des biodéchets par voie de compostage </w:t>
            </w:r>
          </w:p>
        </w:tc>
        <w:tc>
          <w:tcPr>
            <w:tcW w:w="2410" w:type="dxa"/>
          </w:tcPr>
          <w:p w14:paraId="28800136" w14:textId="20DC08FC" w:rsidR="00373DB3" w:rsidRPr="00755F0F" w:rsidRDefault="00373DB3" w:rsidP="00AE2B8A">
            <w:pPr>
              <w:spacing w:before="80" w:after="80"/>
              <w:jc w:val="center"/>
              <w:rPr>
                <w:rFonts w:cs="Arial"/>
                <w:szCs w:val="20"/>
              </w:rPr>
            </w:pPr>
            <w:r w:rsidRPr="00A119C4">
              <w:rPr>
                <w:rFonts w:cs="Arial"/>
                <w:szCs w:val="20"/>
              </w:rPr>
              <w:t>55%</w:t>
            </w:r>
          </w:p>
        </w:tc>
      </w:tr>
    </w:tbl>
    <w:p w14:paraId="22D7718F" w14:textId="629A7734" w:rsidR="008B4708" w:rsidRPr="00746944" w:rsidRDefault="00C02C63" w:rsidP="003145CE">
      <w:pPr>
        <w:autoSpaceDE w:val="0"/>
        <w:autoSpaceDN w:val="0"/>
        <w:adjustRightInd w:val="0"/>
        <w:ind w:right="-851"/>
        <w:rPr>
          <w:rFonts w:cs="Arial"/>
          <w:i/>
        </w:rPr>
      </w:pPr>
      <w:r w:rsidRPr="00746944">
        <w:rPr>
          <w:rFonts w:cs="Arial"/>
          <w:i/>
        </w:rPr>
        <w:t>Les taux d’intervention indiqués sont des taux d’aide maximum. L’intensité de l’aide sera déterminée en fonction de l’intérêt de l’opération, du plan de financement présenté et du budget mobilisable dans le cadre de l’appel à projets.</w:t>
      </w:r>
    </w:p>
    <w:p w14:paraId="4AE9EBF8" w14:textId="7BB331B4" w:rsidR="00746944" w:rsidRDefault="00746944" w:rsidP="00746944">
      <w:pPr>
        <w:ind w:right="-851"/>
        <w:rPr>
          <w:rFonts w:cs="Arial"/>
          <w:i/>
        </w:rPr>
      </w:pPr>
      <w:r>
        <w:rPr>
          <w:rFonts w:cs="Arial"/>
          <w:i/>
        </w:rPr>
        <w:t>* L</w:t>
      </w:r>
      <w:r w:rsidRPr="00746944">
        <w:rPr>
          <w:rFonts w:cs="Arial"/>
          <w:i/>
        </w:rPr>
        <w:t>es aides aux chargés de mission sont possibles et les projets seront étudiés au cas par cas en fonction de l’avancement de la généralisation du tri à la source des biodéchets sur le territoire de la collectivité et de l’ambition du projet. Sont non éligibles les dépenses de personnel titulaire de la fonction publique.</w:t>
      </w:r>
    </w:p>
    <w:p w14:paraId="2486B596" w14:textId="77777777" w:rsidR="003145CE" w:rsidRPr="00746944" w:rsidRDefault="003145CE" w:rsidP="00746944">
      <w:pPr>
        <w:ind w:right="-851"/>
        <w:rPr>
          <w:rFonts w:cs="Arial"/>
          <w:i/>
        </w:rPr>
      </w:pPr>
    </w:p>
    <w:p w14:paraId="1B5A8443" w14:textId="77777777" w:rsidR="00044280" w:rsidRPr="00BB7384" w:rsidRDefault="00044280" w:rsidP="00746944">
      <w:pPr>
        <w:pBdr>
          <w:top w:val="single" w:sz="4" w:space="1" w:color="auto"/>
          <w:left w:val="single" w:sz="4" w:space="4" w:color="auto"/>
          <w:bottom w:val="single" w:sz="4" w:space="1" w:color="auto"/>
          <w:right w:val="single" w:sz="4" w:space="31" w:color="auto"/>
        </w:pBdr>
        <w:ind w:right="-426"/>
        <w:rPr>
          <w:b/>
          <w:szCs w:val="20"/>
        </w:rPr>
      </w:pPr>
      <w:r w:rsidRPr="00BB7384">
        <w:rPr>
          <w:b/>
        </w:rPr>
        <w:t>Bonification dans le cas de la mise en œuvre d’une tarification incitative dans les territoires où une collecte séparée de biodéchets des ménages existe ou est en projet</w:t>
      </w:r>
      <w:r>
        <w:rPr>
          <w:b/>
        </w:rPr>
        <w:t>.</w:t>
      </w:r>
    </w:p>
    <w:p w14:paraId="7A90C119" w14:textId="181D4574" w:rsidR="00044280" w:rsidRDefault="00044280" w:rsidP="00746944">
      <w:pPr>
        <w:pBdr>
          <w:top w:val="single" w:sz="4" w:space="1" w:color="auto"/>
          <w:left w:val="single" w:sz="4" w:space="4" w:color="auto"/>
          <w:bottom w:val="single" w:sz="4" w:space="1" w:color="auto"/>
          <w:right w:val="single" w:sz="4" w:space="31" w:color="auto"/>
        </w:pBdr>
        <w:ind w:right="-426"/>
      </w:pPr>
      <w:r w:rsidRPr="00BB7384">
        <w:t>Un bonus de 2€ par habitant concerné (population DGF) par la collecte des biodéchets (existante ou en projet) est accordé aux collectivités s’engageant dans le déploiement de la tarification incitative (aide à la mise en œuvre directe). Ce bonus, sera appliqué à l’aide forfaitaire accordée pour la mise en plac</w:t>
      </w:r>
      <w:r>
        <w:t xml:space="preserve">e d’une tarification incitative </w:t>
      </w:r>
    </w:p>
    <w:p w14:paraId="01041704" w14:textId="7065A541" w:rsidR="00044280" w:rsidRPr="00755F0F" w:rsidRDefault="00044280" w:rsidP="00746944">
      <w:pPr>
        <w:pBdr>
          <w:top w:val="single" w:sz="4" w:space="1" w:color="auto"/>
          <w:left w:val="single" w:sz="4" w:space="4" w:color="auto"/>
          <w:bottom w:val="single" w:sz="4" w:space="1" w:color="auto"/>
          <w:right w:val="single" w:sz="4" w:space="31" w:color="auto"/>
        </w:pBdr>
        <w:ind w:right="-426"/>
        <w:rPr>
          <w:b/>
        </w:rPr>
      </w:pPr>
      <w:r w:rsidRPr="00755F0F">
        <w:rPr>
          <w:b/>
        </w:rPr>
        <w:t>L’aide pour la collec</w:t>
      </w:r>
      <w:r w:rsidR="001322AF">
        <w:rPr>
          <w:b/>
        </w:rPr>
        <w:t>te séparée des biodéchets (10€/</w:t>
      </w:r>
      <w:r w:rsidRPr="00755F0F">
        <w:rPr>
          <w:b/>
        </w:rPr>
        <w:t>hab desservi) et l’aide Forfaitaire pour la Tarification incitative (10€/hab DGF</w:t>
      </w:r>
      <w:r w:rsidR="0008357D" w:rsidRPr="00755F0F">
        <w:rPr>
          <w:b/>
        </w:rPr>
        <w:t xml:space="preserve"> + 2€/hab</w:t>
      </w:r>
      <w:r w:rsidRPr="00755F0F">
        <w:rPr>
          <w:b/>
        </w:rPr>
        <w:t xml:space="preserve">) sont cumulables.   </w:t>
      </w:r>
    </w:p>
    <w:p w14:paraId="71BB6765" w14:textId="77777777" w:rsidR="00034809" w:rsidRPr="001322AF" w:rsidRDefault="00DD0F54" w:rsidP="001322AF">
      <w:pPr>
        <w:pStyle w:val="Titre1"/>
      </w:pPr>
      <w:r w:rsidRPr="00753FC4">
        <w:br w:type="page"/>
      </w:r>
      <w:r w:rsidR="00034809">
        <w:lastRenderedPageBreak/>
        <w:t>VII</w:t>
      </w:r>
      <w:r w:rsidR="001322AF">
        <w:t>.</w:t>
      </w:r>
      <w:r w:rsidR="00034809" w:rsidRPr="008B4708">
        <w:t xml:space="preserve"> </w:t>
      </w:r>
      <w:r w:rsidR="00034809" w:rsidRPr="009173D1">
        <w:t>Modalités d</w:t>
      </w:r>
      <w:r w:rsidR="00034809">
        <w:t xml:space="preserve">e sélection des projets </w:t>
      </w:r>
    </w:p>
    <w:p w14:paraId="08CA7ED2" w14:textId="77777777" w:rsidR="00034809" w:rsidRPr="00034809" w:rsidRDefault="00034809" w:rsidP="00034809"/>
    <w:p w14:paraId="710806AB" w14:textId="77777777" w:rsidR="00DD0F54" w:rsidRPr="009173D1" w:rsidRDefault="003725BB" w:rsidP="00DD756D">
      <w:pPr>
        <w:rPr>
          <w:b/>
        </w:rPr>
      </w:pPr>
      <w:r w:rsidRPr="009173D1">
        <w:rPr>
          <w:b/>
        </w:rPr>
        <w:t xml:space="preserve">PREREQUIS :  </w:t>
      </w:r>
    </w:p>
    <w:p w14:paraId="5D8A5794" w14:textId="3E0F6E52" w:rsidR="00C02C63" w:rsidRDefault="00C02C63" w:rsidP="00DD756D">
      <w:pPr>
        <w:rPr>
          <w:rFonts w:ascii="Helvetica" w:hAnsi="Helvetica" w:cs="Helvetica"/>
        </w:rPr>
      </w:pPr>
      <w:r w:rsidRPr="00C02C63">
        <w:t xml:space="preserve">Les projets présentés devront respecter les prérequis suivants </w:t>
      </w:r>
      <w:r w:rsidRPr="00C02C63">
        <w:rPr>
          <w:rFonts w:ascii="Helvetica" w:hAnsi="Helvetica" w:cs="Helvetica"/>
        </w:rPr>
        <w:t>(à présenter dans le</w:t>
      </w:r>
      <w:r>
        <w:rPr>
          <w:rFonts w:ascii="Helvetica" w:hAnsi="Helvetica" w:cs="Helvetica"/>
        </w:rPr>
        <w:t xml:space="preserve"> </w:t>
      </w:r>
      <w:r w:rsidRPr="00C02C63">
        <w:rPr>
          <w:rFonts w:ascii="Helvetica" w:hAnsi="Helvetica" w:cs="Helvetica"/>
        </w:rPr>
        <w:t>dossier de candidature) :</w:t>
      </w:r>
    </w:p>
    <w:tbl>
      <w:tblPr>
        <w:tblStyle w:val="Grilledutableau"/>
        <w:tblW w:w="9923" w:type="dxa"/>
        <w:tblInd w:w="-5" w:type="dxa"/>
        <w:tblLook w:val="04A0" w:firstRow="1" w:lastRow="0" w:firstColumn="1" w:lastColumn="0" w:noHBand="0" w:noVBand="1"/>
      </w:tblPr>
      <w:tblGrid>
        <w:gridCol w:w="1418"/>
        <w:gridCol w:w="8505"/>
      </w:tblGrid>
      <w:tr w:rsidR="007477BE" w14:paraId="3BC416D3" w14:textId="77777777" w:rsidTr="00841229">
        <w:trPr>
          <w:trHeight w:val="6301"/>
        </w:trPr>
        <w:tc>
          <w:tcPr>
            <w:tcW w:w="1418" w:type="dxa"/>
          </w:tcPr>
          <w:p w14:paraId="3A1FC29F" w14:textId="234B9420" w:rsidR="007477BE" w:rsidRPr="007477BE" w:rsidRDefault="007477BE" w:rsidP="00DD756D">
            <w:pPr>
              <w:pStyle w:val="Paragraphedeliste"/>
              <w:autoSpaceDE w:val="0"/>
              <w:autoSpaceDN w:val="0"/>
              <w:adjustRightInd w:val="0"/>
              <w:ind w:left="0"/>
              <w:contextualSpacing w:val="0"/>
              <w:jc w:val="left"/>
              <w:rPr>
                <w:rFonts w:cs="Arial"/>
                <w:b/>
                <w:bCs/>
                <w:sz w:val="18"/>
              </w:rPr>
            </w:pPr>
            <w:r w:rsidRPr="007477BE">
              <w:rPr>
                <w:rFonts w:cs="Arial"/>
                <w:b/>
                <w:bCs/>
                <w:sz w:val="18"/>
              </w:rPr>
              <w:t>Pour l’ensemble des dossiers et les collectivités compétentes</w:t>
            </w:r>
            <w:r>
              <w:rPr>
                <w:rFonts w:ascii="Helvetica-Bold" w:hAnsi="Helvetica-Bold" w:cs="Helvetica-Bold"/>
                <w:b/>
                <w:bCs/>
                <w:u w:val="single"/>
              </w:rPr>
              <w:t xml:space="preserve"> </w:t>
            </w:r>
            <w:r w:rsidRPr="00C02C63">
              <w:rPr>
                <w:rFonts w:ascii="Helvetica-Bold" w:hAnsi="Helvetica-Bold" w:cs="Helvetica-Bold"/>
                <w:b/>
                <w:bCs/>
                <w:u w:val="single"/>
              </w:rPr>
              <w:t xml:space="preserve"> </w:t>
            </w:r>
          </w:p>
        </w:tc>
        <w:tc>
          <w:tcPr>
            <w:tcW w:w="8505" w:type="dxa"/>
          </w:tcPr>
          <w:p w14:paraId="141CF6AD" w14:textId="6B736F39" w:rsidR="007477BE" w:rsidRPr="00EF1EEB" w:rsidRDefault="007477BE" w:rsidP="00DD756D">
            <w:pPr>
              <w:pStyle w:val="Paragraphedeliste"/>
              <w:numPr>
                <w:ilvl w:val="0"/>
                <w:numId w:val="10"/>
              </w:numPr>
              <w:autoSpaceDE w:val="0"/>
              <w:autoSpaceDN w:val="0"/>
              <w:adjustRightInd w:val="0"/>
              <w:spacing w:before="80"/>
              <w:ind w:left="182" w:hanging="284"/>
              <w:contextualSpacing w:val="0"/>
              <w:rPr>
                <w:rFonts w:cs="Arial"/>
              </w:rPr>
            </w:pPr>
            <w:r w:rsidRPr="00EF1EEB">
              <w:rPr>
                <w:rFonts w:cs="Arial"/>
              </w:rPr>
              <w:t xml:space="preserve">Disposer d’un PLPDMA adopté ou en cours d’adoption </w:t>
            </w:r>
            <w:r w:rsidR="00245C55" w:rsidRPr="00EF1EEB">
              <w:rPr>
                <w:rFonts w:cs="Arial"/>
              </w:rPr>
              <w:t>comprenant des actions de</w:t>
            </w:r>
            <w:r w:rsidRPr="00EF1EEB">
              <w:rPr>
                <w:rFonts w:cs="Arial"/>
              </w:rPr>
              <w:t xml:space="preserve"> lutte contre gaspillage alimentaire et</w:t>
            </w:r>
            <w:r w:rsidR="00245C55" w:rsidRPr="00EF1EEB">
              <w:rPr>
                <w:rFonts w:cs="Arial"/>
              </w:rPr>
              <w:t xml:space="preserve"> de </w:t>
            </w:r>
            <w:r w:rsidR="00196FDF" w:rsidRPr="00EF1EEB">
              <w:rPr>
                <w:rFonts w:cs="Arial"/>
              </w:rPr>
              <w:t>gestion de proximité</w:t>
            </w:r>
          </w:p>
          <w:p w14:paraId="363017A6" w14:textId="3F777AE0" w:rsidR="007477BE" w:rsidRPr="00EF1EEB" w:rsidRDefault="007477BE" w:rsidP="00DD756D">
            <w:pPr>
              <w:pStyle w:val="Paragraphedeliste"/>
              <w:numPr>
                <w:ilvl w:val="0"/>
                <w:numId w:val="10"/>
              </w:numPr>
              <w:autoSpaceDE w:val="0"/>
              <w:autoSpaceDN w:val="0"/>
              <w:adjustRightInd w:val="0"/>
              <w:spacing w:before="80"/>
              <w:ind w:left="182" w:hanging="284"/>
              <w:contextualSpacing w:val="0"/>
              <w:rPr>
                <w:rFonts w:cs="Arial"/>
              </w:rPr>
            </w:pPr>
            <w:r w:rsidRPr="00EF1EEB">
              <w:rPr>
                <w:rFonts w:cs="Arial"/>
              </w:rPr>
              <w:t>Proposer un projet en cohérence avec les objectifs fixés</w:t>
            </w:r>
            <w:r w:rsidR="00196FDF" w:rsidRPr="00EF1EEB">
              <w:rPr>
                <w:rFonts w:cs="Arial"/>
              </w:rPr>
              <w:t xml:space="preserve"> au niveau national par la Loi </w:t>
            </w:r>
            <w:r w:rsidR="00753FC4" w:rsidRPr="00EF1EEB">
              <w:rPr>
                <w:rFonts w:cs="Arial"/>
              </w:rPr>
              <w:t>AGEC et</w:t>
            </w:r>
            <w:r w:rsidRPr="00EF1EEB">
              <w:rPr>
                <w:rFonts w:cs="Arial"/>
              </w:rPr>
              <w:t xml:space="preserve"> au niveau régi</w:t>
            </w:r>
            <w:r w:rsidR="00196FDF" w:rsidRPr="00EF1EEB">
              <w:rPr>
                <w:rFonts w:cs="Arial"/>
              </w:rPr>
              <w:t>onal par le PRPGD de la Région.</w:t>
            </w:r>
          </w:p>
          <w:p w14:paraId="6E081C1C" w14:textId="588788C0" w:rsidR="007477BE" w:rsidRPr="00EF1EEB" w:rsidRDefault="007477BE" w:rsidP="00DD756D">
            <w:pPr>
              <w:pStyle w:val="Paragraphedeliste"/>
              <w:numPr>
                <w:ilvl w:val="0"/>
                <w:numId w:val="10"/>
              </w:numPr>
              <w:autoSpaceDE w:val="0"/>
              <w:autoSpaceDN w:val="0"/>
              <w:adjustRightInd w:val="0"/>
              <w:spacing w:before="80"/>
              <w:ind w:left="182" w:hanging="284"/>
              <w:contextualSpacing w:val="0"/>
              <w:rPr>
                <w:rFonts w:cs="Arial"/>
              </w:rPr>
            </w:pPr>
            <w:r w:rsidRPr="00EF1EEB">
              <w:rPr>
                <w:rFonts w:cs="Arial"/>
              </w:rPr>
              <w:t>Posséder une ou des matrices des coûts validées da</w:t>
            </w:r>
            <w:r w:rsidR="00196FDF" w:rsidRPr="00EF1EEB">
              <w:rPr>
                <w:rFonts w:cs="Arial"/>
              </w:rPr>
              <w:t>ns SINOE (à minima celle de 2019</w:t>
            </w:r>
            <w:r w:rsidRPr="00EF1EEB">
              <w:rPr>
                <w:rFonts w:cs="Arial"/>
              </w:rPr>
              <w:t xml:space="preserve">) </w:t>
            </w:r>
          </w:p>
          <w:p w14:paraId="482B5216" w14:textId="78E47EC5" w:rsidR="007477BE" w:rsidRPr="00EF1EEB" w:rsidRDefault="007477BE" w:rsidP="00DD756D">
            <w:pPr>
              <w:pStyle w:val="Paragraphedeliste"/>
              <w:numPr>
                <w:ilvl w:val="0"/>
                <w:numId w:val="10"/>
              </w:numPr>
              <w:autoSpaceDE w:val="0"/>
              <w:autoSpaceDN w:val="0"/>
              <w:adjustRightInd w:val="0"/>
              <w:spacing w:before="80"/>
              <w:ind w:left="182" w:hanging="284"/>
              <w:contextualSpacing w:val="0"/>
              <w:rPr>
                <w:rFonts w:cs="Arial"/>
              </w:rPr>
            </w:pPr>
            <w:r w:rsidRPr="00EF1EEB">
              <w:rPr>
                <w:rFonts w:cs="Arial"/>
              </w:rPr>
              <w:t>Avoir répon</w:t>
            </w:r>
            <w:r w:rsidR="00196FDF" w:rsidRPr="00EF1EEB">
              <w:rPr>
                <w:rFonts w:cs="Arial"/>
              </w:rPr>
              <w:t>du à l’enquête « collecte » 2019</w:t>
            </w:r>
            <w:r w:rsidRPr="00EF1EEB">
              <w:rPr>
                <w:rFonts w:cs="Arial"/>
              </w:rPr>
              <w:t xml:space="preserve"> de l’Observatoire </w:t>
            </w:r>
            <w:r w:rsidR="00196FDF" w:rsidRPr="00EF1EEB">
              <w:rPr>
                <w:rFonts w:cs="Arial"/>
              </w:rPr>
              <w:t>de l’Environnement en Bretagne</w:t>
            </w:r>
          </w:p>
          <w:p w14:paraId="40F8EFD5" w14:textId="77777777" w:rsidR="007477BE" w:rsidRPr="00EF1EEB" w:rsidRDefault="007477BE" w:rsidP="00DD756D">
            <w:pPr>
              <w:pStyle w:val="Paragraphedeliste"/>
              <w:numPr>
                <w:ilvl w:val="0"/>
                <w:numId w:val="10"/>
              </w:numPr>
              <w:autoSpaceDE w:val="0"/>
              <w:autoSpaceDN w:val="0"/>
              <w:adjustRightInd w:val="0"/>
              <w:spacing w:before="80"/>
              <w:ind w:left="182" w:hanging="284"/>
              <w:contextualSpacing w:val="0"/>
              <w:rPr>
                <w:rFonts w:cs="Arial"/>
              </w:rPr>
            </w:pPr>
            <w:r w:rsidRPr="00EF1EEB">
              <w:rPr>
                <w:rFonts w:cs="Arial"/>
              </w:rPr>
              <w:t>Proposer un programme de mobilisation (dispositifs participatifs, concertation, formation, communication, animation…) à destination des différentes cibles (élus, grand public, scolaires…)</w:t>
            </w:r>
          </w:p>
          <w:p w14:paraId="2915900D" w14:textId="77777777" w:rsidR="007477BE" w:rsidRPr="00755F0F" w:rsidRDefault="007477BE" w:rsidP="00DD756D">
            <w:pPr>
              <w:pStyle w:val="Paragraphedeliste"/>
              <w:numPr>
                <w:ilvl w:val="0"/>
                <w:numId w:val="10"/>
              </w:numPr>
              <w:autoSpaceDE w:val="0"/>
              <w:autoSpaceDN w:val="0"/>
              <w:adjustRightInd w:val="0"/>
              <w:spacing w:before="80"/>
              <w:ind w:left="182" w:hanging="284"/>
              <w:contextualSpacing w:val="0"/>
              <w:rPr>
                <w:rFonts w:cs="Arial"/>
              </w:rPr>
            </w:pPr>
            <w:r w:rsidRPr="00755F0F">
              <w:rPr>
                <w:rFonts w:cs="Arial"/>
              </w:rPr>
              <w:t xml:space="preserve">Identifier le gisement de biodéchets mobilisable sur le territoire en amont par le biais d’une caractérisation des OMR et l’engagement de la réalisation d’une caractérisation à l’issue de l’opération afin d’évaluer l’efficacité des actions menées. </w:t>
            </w:r>
          </w:p>
          <w:p w14:paraId="3B441C1D" w14:textId="71A5F096" w:rsidR="007477BE" w:rsidRPr="00EF1EEB" w:rsidRDefault="007477BE" w:rsidP="00DD756D">
            <w:pPr>
              <w:pStyle w:val="Paragraphedeliste"/>
              <w:numPr>
                <w:ilvl w:val="0"/>
                <w:numId w:val="10"/>
              </w:numPr>
              <w:autoSpaceDE w:val="0"/>
              <w:autoSpaceDN w:val="0"/>
              <w:adjustRightInd w:val="0"/>
              <w:spacing w:before="80"/>
              <w:ind w:left="182" w:hanging="284"/>
              <w:contextualSpacing w:val="0"/>
              <w:rPr>
                <w:rFonts w:cs="Arial"/>
              </w:rPr>
            </w:pPr>
            <w:r w:rsidRPr="00EF1EEB">
              <w:rPr>
                <w:rFonts w:cs="Arial"/>
              </w:rPr>
              <w:t>D’avoir réalisé un diagnostic dont schéma territorial de tri à la source des biodéchets et/ou d’une étude préalable à la mise en place d’un dispositif de tri à la source des biodéchets (dont déchets alimentaires, déchets verts) abordant le panel de la gestion de proximité et de collecte séparée de ces derniers Plus largement, il est demandé à la collectivité d’avoir étudié les modalités d’optimisation de son service déchets dans sa globalité ;</w:t>
            </w:r>
            <w:r w:rsidR="00111480">
              <w:rPr>
                <w:rFonts w:cs="Arial"/>
              </w:rPr>
              <w:t xml:space="preserve"> </w:t>
            </w:r>
          </w:p>
          <w:p w14:paraId="6F7A2400" w14:textId="37FA080E" w:rsidR="007477BE" w:rsidRPr="00EF1EEB" w:rsidRDefault="007477BE" w:rsidP="00841229">
            <w:pPr>
              <w:pStyle w:val="Paragraphedeliste"/>
              <w:numPr>
                <w:ilvl w:val="0"/>
                <w:numId w:val="10"/>
              </w:numPr>
              <w:autoSpaceDE w:val="0"/>
              <w:autoSpaceDN w:val="0"/>
              <w:adjustRightInd w:val="0"/>
              <w:spacing w:before="80"/>
              <w:ind w:left="182" w:hanging="284"/>
              <w:contextualSpacing w:val="0"/>
              <w:rPr>
                <w:rFonts w:cs="Arial"/>
              </w:rPr>
            </w:pPr>
            <w:r w:rsidRPr="00EF1EEB">
              <w:rPr>
                <w:rFonts w:cs="Arial"/>
              </w:rPr>
              <w:t xml:space="preserve">D’instaurer un dispositif de suivi et d’évaluation des performances de l’organisation retenu pour le Tri à la source des biodéchets. Le porteur de projet proposera de manière </w:t>
            </w:r>
            <w:r w:rsidR="00495D38" w:rsidRPr="00EF1EEB">
              <w:rPr>
                <w:rFonts w:cs="Arial"/>
              </w:rPr>
              <w:t>obligatoire des</w:t>
            </w:r>
            <w:r w:rsidRPr="00EF1EEB">
              <w:rPr>
                <w:rFonts w:cs="Arial"/>
              </w:rPr>
              <w:t xml:space="preserve"> indicateurs de suivi, et des objectifs de réduction à atteindre d’OMR et de déchets verts. Les indicateurs retenus pourront reprendre ceux présentés dans l’annexe X. Ils seront complétés par la proposition d’indicateurs éco</w:t>
            </w:r>
            <w:r w:rsidR="00841229">
              <w:rPr>
                <w:rFonts w:cs="Arial"/>
              </w:rPr>
              <w:t>n</w:t>
            </w:r>
            <w:r w:rsidRPr="00EF1EEB">
              <w:rPr>
                <w:rFonts w:cs="Arial"/>
              </w:rPr>
              <w:t xml:space="preserve">omiques et sociales. </w:t>
            </w:r>
          </w:p>
        </w:tc>
      </w:tr>
      <w:tr w:rsidR="00E35E61" w14:paraId="32E8E901" w14:textId="77777777" w:rsidTr="007477BE">
        <w:tc>
          <w:tcPr>
            <w:tcW w:w="1418" w:type="dxa"/>
          </w:tcPr>
          <w:p w14:paraId="3105D53E" w14:textId="0FDAEBAF" w:rsidR="00E35E61" w:rsidRPr="007477BE" w:rsidRDefault="007477BE" w:rsidP="00DD756D">
            <w:pPr>
              <w:pStyle w:val="Paragraphedeliste"/>
              <w:autoSpaceDE w:val="0"/>
              <w:autoSpaceDN w:val="0"/>
              <w:adjustRightInd w:val="0"/>
              <w:ind w:left="0"/>
              <w:contextualSpacing w:val="0"/>
              <w:jc w:val="left"/>
              <w:rPr>
                <w:rFonts w:cs="Arial"/>
                <w:sz w:val="18"/>
              </w:rPr>
            </w:pPr>
            <w:r>
              <w:rPr>
                <w:rFonts w:cs="Arial"/>
                <w:b/>
                <w:bCs/>
                <w:sz w:val="18"/>
              </w:rPr>
              <w:t>G</w:t>
            </w:r>
            <w:r w:rsidR="00E35E61" w:rsidRPr="007477BE">
              <w:rPr>
                <w:rFonts w:cs="Arial"/>
                <w:b/>
                <w:bCs/>
                <w:sz w:val="18"/>
              </w:rPr>
              <w:t>estion de proximité des biodéchets</w:t>
            </w:r>
            <w:r w:rsidR="00027D44" w:rsidRPr="007477BE">
              <w:rPr>
                <w:rFonts w:cs="Arial"/>
                <w:b/>
                <w:bCs/>
                <w:sz w:val="18"/>
              </w:rPr>
              <w:t xml:space="preserve"> et prévention déchets verts</w:t>
            </w:r>
          </w:p>
        </w:tc>
        <w:tc>
          <w:tcPr>
            <w:tcW w:w="8505" w:type="dxa"/>
          </w:tcPr>
          <w:p w14:paraId="35F0685E" w14:textId="77777777" w:rsidR="0016034D" w:rsidRDefault="0016034D" w:rsidP="0016034D">
            <w:r w:rsidRPr="006B23C1">
              <w:t>Les collectivités devront proposer</w:t>
            </w:r>
            <w:r>
              <w:t> :</w:t>
            </w:r>
          </w:p>
          <w:p w14:paraId="62E0B19E" w14:textId="2E798FA4" w:rsidR="0016034D" w:rsidRPr="006B23C1" w:rsidRDefault="001322AF" w:rsidP="0016034D">
            <w:pPr>
              <w:pStyle w:val="Paragraphedeliste"/>
              <w:numPr>
                <w:ilvl w:val="0"/>
                <w:numId w:val="10"/>
              </w:numPr>
              <w:suppressAutoHyphens/>
              <w:spacing w:before="0"/>
            </w:pPr>
            <w:r w:rsidRPr="006B23C1">
              <w:t>Un</w:t>
            </w:r>
            <w:r w:rsidR="0016034D" w:rsidRPr="006B23C1">
              <w:t xml:space="preserve"> plan de communication qui soutienne sur la durée le geste de tri des habitants </w:t>
            </w:r>
          </w:p>
          <w:p w14:paraId="20F7294B" w14:textId="41EB51DD" w:rsidR="0016034D" w:rsidRPr="0016034D" w:rsidRDefault="001322AF" w:rsidP="0016034D">
            <w:pPr>
              <w:pStyle w:val="Paragraphedeliste"/>
              <w:numPr>
                <w:ilvl w:val="0"/>
                <w:numId w:val="10"/>
              </w:numPr>
              <w:suppressAutoHyphens/>
              <w:spacing w:before="0"/>
            </w:pPr>
            <w:r>
              <w:t>Des</w:t>
            </w:r>
            <w:r w:rsidR="0016034D">
              <w:t xml:space="preserve"> actions de lutte contre les pratiques de brûlage de déchets verts et de lutte contre le gaspillage alimentaire.</w:t>
            </w:r>
          </w:p>
          <w:p w14:paraId="32A01DEC" w14:textId="16644D53" w:rsidR="00332397" w:rsidRPr="00EF1EEB" w:rsidRDefault="00E35E61" w:rsidP="0016034D">
            <w:pPr>
              <w:pStyle w:val="Paragraphedeliste"/>
              <w:numPr>
                <w:ilvl w:val="0"/>
                <w:numId w:val="10"/>
              </w:numPr>
              <w:autoSpaceDE w:val="0"/>
              <w:autoSpaceDN w:val="0"/>
              <w:adjustRightInd w:val="0"/>
              <w:spacing w:before="80"/>
              <w:contextualSpacing w:val="0"/>
              <w:rPr>
                <w:rFonts w:cs="Arial"/>
              </w:rPr>
            </w:pPr>
            <w:r w:rsidRPr="00EF1EEB">
              <w:rPr>
                <w:rFonts w:cs="Arial"/>
              </w:rPr>
              <w:t>L’engagement à contribuer à la montée en compétence collective des acteurs de la gestion de proximité sur le territoire (maître, relais, guide</w:t>
            </w:r>
            <w:r w:rsidR="00027D44" w:rsidRPr="00EF1EEB">
              <w:rPr>
                <w:rFonts w:cs="Arial"/>
              </w:rPr>
              <w:t xml:space="preserve"> pailleur-</w:t>
            </w:r>
            <w:r w:rsidRPr="00EF1EEB">
              <w:rPr>
                <w:rFonts w:cs="Arial"/>
              </w:rPr>
              <w:t xml:space="preserve"> composteur, référent de site) </w:t>
            </w:r>
          </w:p>
          <w:p w14:paraId="504CBB7D" w14:textId="77777777" w:rsidR="00027D44" w:rsidRPr="00EF1EEB" w:rsidRDefault="00027D44" w:rsidP="0016034D">
            <w:pPr>
              <w:pStyle w:val="Paragraphedeliste"/>
              <w:numPr>
                <w:ilvl w:val="0"/>
                <w:numId w:val="10"/>
              </w:numPr>
              <w:autoSpaceDE w:val="0"/>
              <w:autoSpaceDN w:val="0"/>
              <w:adjustRightInd w:val="0"/>
              <w:spacing w:before="80"/>
              <w:contextualSpacing w:val="0"/>
              <w:rPr>
                <w:rFonts w:cs="Arial"/>
              </w:rPr>
            </w:pPr>
            <w:r w:rsidRPr="00EF1EEB">
              <w:rPr>
                <w:rFonts w:cs="Arial"/>
              </w:rPr>
              <w:t xml:space="preserve">La proposition </w:t>
            </w:r>
            <w:r w:rsidR="000B7F14" w:rsidRPr="00EF1EEB">
              <w:rPr>
                <w:rFonts w:cs="Arial"/>
              </w:rPr>
              <w:t>d’une organisation entre les différents intervenants (maitre composteur, guide composteur, référents de site, relais, usagers, professionnels…) pour le retournement, la tenue d’un registre de suivi, l’apport en broyat, l’intervention en cas de dysfonctionnement, bilan annuel, …</w:t>
            </w:r>
          </w:p>
          <w:p w14:paraId="67C1ADBD" w14:textId="1D453EB3" w:rsidR="00EE43CB" w:rsidRPr="00EF1EEB" w:rsidRDefault="00EE43CB" w:rsidP="0016034D">
            <w:pPr>
              <w:pStyle w:val="Paragraphedeliste"/>
              <w:numPr>
                <w:ilvl w:val="0"/>
                <w:numId w:val="10"/>
              </w:numPr>
              <w:autoSpaceDE w:val="0"/>
              <w:autoSpaceDN w:val="0"/>
              <w:adjustRightInd w:val="0"/>
              <w:spacing w:before="80"/>
              <w:contextualSpacing w:val="0"/>
              <w:rPr>
                <w:rFonts w:cs="Arial"/>
              </w:rPr>
            </w:pPr>
            <w:r w:rsidRPr="00EF1EEB">
              <w:rPr>
                <w:rFonts w:cs="Arial"/>
              </w:rPr>
              <w:t>Suivi/accompagnement des sites en fonctionnement et des praticiens de la gestion de proximité</w:t>
            </w:r>
          </w:p>
          <w:p w14:paraId="73237914" w14:textId="66BE31F4" w:rsidR="00EE43CB" w:rsidRPr="00EF1EEB" w:rsidRDefault="00EE43CB" w:rsidP="0016034D">
            <w:pPr>
              <w:pStyle w:val="Paragraphedeliste"/>
              <w:numPr>
                <w:ilvl w:val="0"/>
                <w:numId w:val="10"/>
              </w:numPr>
              <w:autoSpaceDE w:val="0"/>
              <w:autoSpaceDN w:val="0"/>
              <w:adjustRightInd w:val="0"/>
              <w:spacing w:before="80"/>
              <w:contextualSpacing w:val="0"/>
              <w:rPr>
                <w:rFonts w:cs="Arial"/>
              </w:rPr>
            </w:pPr>
            <w:r w:rsidRPr="00EF1EEB">
              <w:rPr>
                <w:rFonts w:cs="Arial"/>
              </w:rPr>
              <w:t>Mise en place de relais de terrain pour l’accompagnement des ménages et des opérateurs dans leur pratique</w:t>
            </w:r>
          </w:p>
        </w:tc>
      </w:tr>
      <w:tr w:rsidR="00E35E61" w14:paraId="1216B338" w14:textId="77777777" w:rsidTr="0016034D">
        <w:trPr>
          <w:trHeight w:val="1055"/>
        </w:trPr>
        <w:tc>
          <w:tcPr>
            <w:tcW w:w="1418" w:type="dxa"/>
          </w:tcPr>
          <w:p w14:paraId="1555B0AF" w14:textId="0CA98AB6" w:rsidR="00E35E61" w:rsidRPr="007477BE" w:rsidRDefault="00027D44" w:rsidP="00DD756D">
            <w:pPr>
              <w:pStyle w:val="Paragraphedeliste"/>
              <w:autoSpaceDE w:val="0"/>
              <w:autoSpaceDN w:val="0"/>
              <w:adjustRightInd w:val="0"/>
              <w:ind w:left="0"/>
              <w:contextualSpacing w:val="0"/>
              <w:jc w:val="left"/>
              <w:rPr>
                <w:rFonts w:cs="Arial"/>
                <w:b/>
                <w:bCs/>
                <w:sz w:val="18"/>
              </w:rPr>
            </w:pPr>
            <w:r w:rsidRPr="007477BE">
              <w:rPr>
                <w:rFonts w:cs="Arial"/>
                <w:b/>
                <w:bCs/>
                <w:sz w:val="18"/>
              </w:rPr>
              <w:t>C</w:t>
            </w:r>
            <w:r w:rsidR="00E35E61" w:rsidRPr="007477BE">
              <w:rPr>
                <w:rFonts w:cs="Arial"/>
                <w:b/>
                <w:bCs/>
                <w:sz w:val="18"/>
              </w:rPr>
              <w:t>ollecte séparée des biodéchets des ménages et assimilés</w:t>
            </w:r>
          </w:p>
        </w:tc>
        <w:tc>
          <w:tcPr>
            <w:tcW w:w="8505" w:type="dxa"/>
          </w:tcPr>
          <w:p w14:paraId="2616EC0C" w14:textId="58AD082D" w:rsidR="00755F0F" w:rsidRDefault="00755F0F" w:rsidP="00755F0F">
            <w:r w:rsidRPr="006B23C1">
              <w:t xml:space="preserve">Les collectivités devront </w:t>
            </w:r>
            <w:r>
              <w:t>:</w:t>
            </w:r>
          </w:p>
          <w:p w14:paraId="009FDA3C" w14:textId="314D4E97" w:rsidR="00755F0F" w:rsidRPr="0016034D" w:rsidRDefault="00755F0F" w:rsidP="00EE5B3A">
            <w:pPr>
              <w:pStyle w:val="Paragraphedeliste"/>
              <w:numPr>
                <w:ilvl w:val="0"/>
                <w:numId w:val="10"/>
              </w:numPr>
              <w:suppressAutoHyphens/>
              <w:spacing w:before="0"/>
            </w:pPr>
            <w:r>
              <w:t xml:space="preserve">Proposer </w:t>
            </w:r>
            <w:r w:rsidRPr="006B23C1">
              <w:t xml:space="preserve">un plan de communication qui soutienne sur la durée le geste de tri des habitants </w:t>
            </w:r>
          </w:p>
          <w:p w14:paraId="6138D933" w14:textId="0A116251" w:rsidR="00E35E61" w:rsidRPr="007477BE" w:rsidRDefault="00E35E61" w:rsidP="00034809">
            <w:pPr>
              <w:pStyle w:val="Paragraphedeliste"/>
              <w:numPr>
                <w:ilvl w:val="0"/>
                <w:numId w:val="10"/>
              </w:numPr>
              <w:autoSpaceDE w:val="0"/>
              <w:autoSpaceDN w:val="0"/>
              <w:adjustRightInd w:val="0"/>
              <w:spacing w:before="80"/>
              <w:ind w:left="182" w:firstLine="138"/>
              <w:contextualSpacing w:val="0"/>
              <w:rPr>
                <w:rFonts w:cs="Arial"/>
              </w:rPr>
            </w:pPr>
            <w:r w:rsidRPr="007477BE">
              <w:rPr>
                <w:rFonts w:cs="Arial"/>
              </w:rPr>
              <w:t>Garantir une valorisation de qualité par :</w:t>
            </w:r>
          </w:p>
          <w:p w14:paraId="4ED4AAF0" w14:textId="4A8ACCD3" w:rsidR="001322AF" w:rsidRDefault="00E35E61" w:rsidP="001322AF">
            <w:pPr>
              <w:pStyle w:val="Paragraphedeliste"/>
              <w:numPr>
                <w:ilvl w:val="1"/>
                <w:numId w:val="10"/>
              </w:numPr>
              <w:autoSpaceDE w:val="0"/>
              <w:autoSpaceDN w:val="0"/>
              <w:adjustRightInd w:val="0"/>
              <w:spacing w:before="0"/>
              <w:ind w:left="1029" w:hanging="425"/>
              <w:contextualSpacing w:val="0"/>
              <w:rPr>
                <w:rFonts w:cs="Arial"/>
              </w:rPr>
            </w:pPr>
            <w:r w:rsidRPr="007477BE">
              <w:rPr>
                <w:rFonts w:cs="Arial"/>
              </w:rPr>
              <w:t>La présence d’unité de valorisation en capacité d’accueillir des déchets soumis à la règlementation sur les sous-produits animaux (SPAN) (a minima dossier d’agrément SPAN déposé) ou partenariat avec des exutoires locaux en cours de contractualisation et engagés</w:t>
            </w:r>
          </w:p>
          <w:p w14:paraId="35A71A51" w14:textId="4B1A6655" w:rsidR="00E35E61" w:rsidRPr="001322AF" w:rsidRDefault="00E35E61" w:rsidP="001322AF">
            <w:pPr>
              <w:pStyle w:val="Paragraphedeliste"/>
              <w:numPr>
                <w:ilvl w:val="1"/>
                <w:numId w:val="10"/>
              </w:numPr>
              <w:autoSpaceDE w:val="0"/>
              <w:autoSpaceDN w:val="0"/>
              <w:adjustRightInd w:val="0"/>
              <w:spacing w:before="0"/>
              <w:ind w:left="1029" w:hanging="425"/>
              <w:contextualSpacing w:val="0"/>
              <w:rPr>
                <w:rFonts w:cs="Arial"/>
              </w:rPr>
            </w:pPr>
            <w:r w:rsidRPr="001322AF">
              <w:rPr>
                <w:rFonts w:cs="Arial"/>
              </w:rPr>
              <w:t>L’engagement dans une démarche de qualité du compost : normalisation, labellisation, partenariat étroit avec le secteur agricole, …</w:t>
            </w:r>
          </w:p>
          <w:p w14:paraId="66A95749" w14:textId="77777777" w:rsidR="00E35E61" w:rsidRPr="007477BE" w:rsidRDefault="00E35E61" w:rsidP="00034809">
            <w:pPr>
              <w:pStyle w:val="Paragraphedeliste"/>
              <w:numPr>
                <w:ilvl w:val="0"/>
                <w:numId w:val="10"/>
              </w:numPr>
              <w:autoSpaceDE w:val="0"/>
              <w:autoSpaceDN w:val="0"/>
              <w:adjustRightInd w:val="0"/>
              <w:spacing w:before="80"/>
              <w:ind w:left="182" w:firstLine="138"/>
              <w:contextualSpacing w:val="0"/>
              <w:rPr>
                <w:rFonts w:cs="Arial"/>
              </w:rPr>
            </w:pPr>
            <w:r w:rsidRPr="007477BE">
              <w:rPr>
                <w:rFonts w:cs="Arial"/>
              </w:rPr>
              <w:lastRenderedPageBreak/>
              <w:t>De s’assurer que les dispositifs de tri à la source des biodéchets déployés s’inscrivent dans un objectif d’optimisation globale du Service Public de Prévention et de Gestion des Déchets.</w:t>
            </w:r>
          </w:p>
          <w:p w14:paraId="1367D9AE" w14:textId="14BBC9BF" w:rsidR="00E35E61" w:rsidRPr="00755F0F" w:rsidRDefault="00E35E61" w:rsidP="00034809">
            <w:pPr>
              <w:pStyle w:val="Paragraphedeliste"/>
              <w:numPr>
                <w:ilvl w:val="0"/>
                <w:numId w:val="10"/>
              </w:numPr>
              <w:autoSpaceDE w:val="0"/>
              <w:autoSpaceDN w:val="0"/>
              <w:adjustRightInd w:val="0"/>
              <w:spacing w:before="80"/>
              <w:ind w:left="182" w:firstLine="138"/>
              <w:contextualSpacing w:val="0"/>
              <w:rPr>
                <w:rFonts w:cs="Arial"/>
              </w:rPr>
            </w:pPr>
            <w:r w:rsidRPr="007477BE">
              <w:rPr>
                <w:rFonts w:cs="Arial"/>
              </w:rPr>
              <w:t>Vérifier que la collecte séparée des biodéchets viennent en complémentarité de la gestion de proximité sans détériorer l’existant.</w:t>
            </w:r>
          </w:p>
        </w:tc>
      </w:tr>
    </w:tbl>
    <w:p w14:paraId="35205F6F" w14:textId="77777777" w:rsidR="00034809" w:rsidRDefault="00034809" w:rsidP="00DD756D">
      <w:pPr>
        <w:autoSpaceDE w:val="0"/>
        <w:autoSpaceDN w:val="0"/>
        <w:adjustRightInd w:val="0"/>
        <w:rPr>
          <w:rFonts w:ascii="Helvetica" w:hAnsi="Helvetica" w:cs="Helvetica"/>
          <w:b/>
        </w:rPr>
      </w:pPr>
    </w:p>
    <w:p w14:paraId="1C33BE12" w14:textId="493298E5" w:rsidR="00D737BD" w:rsidRDefault="004278F9" w:rsidP="00DD756D">
      <w:pPr>
        <w:autoSpaceDE w:val="0"/>
        <w:autoSpaceDN w:val="0"/>
        <w:adjustRightInd w:val="0"/>
        <w:rPr>
          <w:rFonts w:ascii="Helvetica" w:hAnsi="Helvetica" w:cs="Helvetica"/>
        </w:rPr>
      </w:pPr>
      <w:r>
        <w:rPr>
          <w:rFonts w:ascii="Helvetica" w:hAnsi="Helvetica" w:cs="Helvetica"/>
          <w:b/>
        </w:rPr>
        <w:t>CRITERE</w:t>
      </w:r>
      <w:r w:rsidR="009173D1">
        <w:rPr>
          <w:rFonts w:ascii="Helvetica" w:hAnsi="Helvetica" w:cs="Helvetica"/>
          <w:b/>
        </w:rPr>
        <w:t>S</w:t>
      </w:r>
      <w:r>
        <w:rPr>
          <w:rFonts w:ascii="Helvetica" w:hAnsi="Helvetica" w:cs="Helvetica"/>
          <w:b/>
        </w:rPr>
        <w:t xml:space="preserve"> D’EVALUATION</w:t>
      </w:r>
      <w:r w:rsidR="00D737BD" w:rsidRPr="00F1559B">
        <w:rPr>
          <w:rFonts w:ascii="Helvetica" w:hAnsi="Helvetica" w:cs="Helvetica"/>
        </w:rPr>
        <w:t>: Les dossiers seron</w:t>
      </w:r>
      <w:r>
        <w:rPr>
          <w:rFonts w:ascii="Helvetica" w:hAnsi="Helvetica" w:cs="Helvetica"/>
        </w:rPr>
        <w:t xml:space="preserve">t évalués selon les critères </w:t>
      </w:r>
      <w:r w:rsidR="00D737BD" w:rsidRPr="00F1559B">
        <w:rPr>
          <w:rFonts w:ascii="Helvetica" w:hAnsi="Helvetica" w:cs="Helvetica"/>
        </w:rPr>
        <w:t>suivants :</w:t>
      </w:r>
    </w:p>
    <w:p w14:paraId="58D48765" w14:textId="67034968" w:rsidR="001F60B3" w:rsidRDefault="004278F9" w:rsidP="00DD756D">
      <w:pPr>
        <w:ind w:firstLine="357"/>
        <w:rPr>
          <w:rFonts w:ascii="Helvetica-Bold" w:hAnsi="Helvetica-Bold" w:cs="Helvetica-Bold"/>
          <w:b/>
          <w:bCs/>
          <w:u w:val="single"/>
        </w:rPr>
      </w:pPr>
      <w:r w:rsidRPr="00C02C63">
        <w:rPr>
          <w:rFonts w:ascii="Helvetica-Bold" w:hAnsi="Helvetica-Bold" w:cs="Helvetica-Bold"/>
          <w:b/>
          <w:bCs/>
          <w:u w:val="single"/>
        </w:rPr>
        <w:t xml:space="preserve">Pour l’ensemble des </w:t>
      </w:r>
      <w:r>
        <w:rPr>
          <w:rFonts w:ascii="Helvetica-Bold" w:hAnsi="Helvetica-Bold" w:cs="Helvetica-Bold"/>
          <w:b/>
          <w:bCs/>
          <w:u w:val="single"/>
        </w:rPr>
        <w:t>dossiers</w:t>
      </w:r>
    </w:p>
    <w:p w14:paraId="04241751" w14:textId="77777777" w:rsidR="00495D38" w:rsidRDefault="00495D38" w:rsidP="00DD756D">
      <w:pPr>
        <w:ind w:firstLine="357"/>
        <w:rPr>
          <w:rFonts w:ascii="Helvetica-Bold" w:hAnsi="Helvetica-Bold" w:cs="Helvetica-Bold"/>
          <w:b/>
          <w:bCs/>
          <w:u w:val="single"/>
        </w:rPr>
      </w:pPr>
    </w:p>
    <w:tbl>
      <w:tblPr>
        <w:tblStyle w:val="Grilledutableau"/>
        <w:tblW w:w="0" w:type="auto"/>
        <w:tblLook w:val="04A0" w:firstRow="1" w:lastRow="0" w:firstColumn="1" w:lastColumn="0" w:noHBand="0" w:noVBand="1"/>
      </w:tblPr>
      <w:tblGrid>
        <w:gridCol w:w="9629"/>
      </w:tblGrid>
      <w:tr w:rsidR="00495D38" w14:paraId="42C65E6A" w14:textId="77777777" w:rsidTr="00495D38">
        <w:tc>
          <w:tcPr>
            <w:tcW w:w="9629" w:type="dxa"/>
          </w:tcPr>
          <w:p w14:paraId="58DDB9DE" w14:textId="77777777" w:rsidR="00495D38" w:rsidRPr="00765A12" w:rsidRDefault="00495D38" w:rsidP="00495D38">
            <w:pPr>
              <w:spacing w:before="80" w:after="80"/>
              <w:ind w:firstLine="357"/>
              <w:rPr>
                <w:rFonts w:ascii="Helvetica-Bold" w:hAnsi="Helvetica-Bold" w:cs="Helvetica-Bold"/>
                <w:bCs/>
                <w:i/>
              </w:rPr>
            </w:pPr>
            <w:r w:rsidRPr="00765A12">
              <w:rPr>
                <w:rFonts w:ascii="Helvetica-Bold" w:hAnsi="Helvetica-Bold" w:cs="Helvetica-Bold"/>
                <w:bCs/>
                <w:i/>
              </w:rPr>
              <w:t xml:space="preserve">Exemplarité et/ou </w:t>
            </w:r>
            <w:r>
              <w:rPr>
                <w:rFonts w:ascii="Helvetica-Bold" w:hAnsi="Helvetica-Bold" w:cs="Helvetica-Bold"/>
                <w:bCs/>
                <w:i/>
              </w:rPr>
              <w:t>o</w:t>
            </w:r>
            <w:r w:rsidRPr="00765A12">
              <w:rPr>
                <w:rFonts w:ascii="Helvetica-Bold" w:hAnsi="Helvetica-Bold" w:cs="Helvetica-Bold"/>
                <w:bCs/>
                <w:i/>
              </w:rPr>
              <w:t xml:space="preserve">pérations </w:t>
            </w:r>
            <w:r>
              <w:rPr>
                <w:rFonts w:ascii="Helvetica-Bold" w:hAnsi="Helvetica-Bold" w:cs="Helvetica-Bold"/>
                <w:bCs/>
                <w:i/>
              </w:rPr>
              <w:t>s</w:t>
            </w:r>
            <w:r w:rsidRPr="00765A12">
              <w:rPr>
                <w:rFonts w:ascii="Helvetica-Bold" w:hAnsi="Helvetica-Bold" w:cs="Helvetica-Bold"/>
                <w:bCs/>
                <w:i/>
              </w:rPr>
              <w:t>tructurantes</w:t>
            </w:r>
          </w:p>
          <w:p w14:paraId="4D30568F" w14:textId="77777777" w:rsidR="00495D38" w:rsidRPr="003768A8" w:rsidRDefault="00495D38" w:rsidP="00495D38">
            <w:pPr>
              <w:pStyle w:val="Paragraphedeliste"/>
              <w:numPr>
                <w:ilvl w:val="0"/>
                <w:numId w:val="4"/>
              </w:numPr>
              <w:autoSpaceDE w:val="0"/>
              <w:autoSpaceDN w:val="0"/>
              <w:adjustRightInd w:val="0"/>
              <w:spacing w:before="80"/>
              <w:ind w:left="992" w:hanging="357"/>
              <w:contextualSpacing w:val="0"/>
              <w:rPr>
                <w:rFonts w:cs="Arial"/>
                <w:color w:val="000000"/>
                <w:szCs w:val="20"/>
                <w:lang w:eastAsia="fr-FR"/>
              </w:rPr>
            </w:pPr>
            <w:r>
              <w:t xml:space="preserve">Une ambition et des </w:t>
            </w:r>
            <w:r w:rsidRPr="00765A12">
              <w:t>effets structurants pour le territoire avec des résultats attendus en terme d’évitement et de détournement de biodéchets (quantité et %) conformes aux objectifs du PRPGD pour les déchets alimentaires et déchets verts.</w:t>
            </w:r>
          </w:p>
          <w:p w14:paraId="52758EC7" w14:textId="77777777" w:rsidR="00495D38" w:rsidRPr="002A7D87" w:rsidRDefault="00495D38" w:rsidP="00495D38">
            <w:pPr>
              <w:pStyle w:val="Paragraphedeliste"/>
              <w:numPr>
                <w:ilvl w:val="0"/>
                <w:numId w:val="4"/>
              </w:numPr>
              <w:autoSpaceDE w:val="0"/>
              <w:autoSpaceDN w:val="0"/>
              <w:adjustRightInd w:val="0"/>
              <w:spacing w:before="80"/>
              <w:ind w:left="992" w:hanging="357"/>
              <w:contextualSpacing w:val="0"/>
              <w:rPr>
                <w:rFonts w:cs="Arial"/>
                <w:color w:val="000000"/>
                <w:szCs w:val="20"/>
                <w:lang w:eastAsia="fr-FR"/>
              </w:rPr>
            </w:pPr>
            <w:r>
              <w:t>Une complémentarité de solutions en adéquation avec les spécificités du Territoire</w:t>
            </w:r>
          </w:p>
          <w:p w14:paraId="02F3588A" w14:textId="77777777" w:rsidR="00495D38" w:rsidRPr="00804729" w:rsidRDefault="00495D38" w:rsidP="00495D38">
            <w:pPr>
              <w:pStyle w:val="Paragraphedeliste"/>
              <w:numPr>
                <w:ilvl w:val="0"/>
                <w:numId w:val="4"/>
              </w:numPr>
              <w:autoSpaceDE w:val="0"/>
              <w:autoSpaceDN w:val="0"/>
              <w:adjustRightInd w:val="0"/>
              <w:spacing w:before="80"/>
              <w:ind w:left="992" w:hanging="357"/>
              <w:contextualSpacing w:val="0"/>
              <w:rPr>
                <w:rFonts w:cs="Arial"/>
                <w:color w:val="000000"/>
                <w:szCs w:val="20"/>
                <w:lang w:eastAsia="fr-FR"/>
              </w:rPr>
            </w:pPr>
            <w:r>
              <w:t>Une maîtrise des couts du service Public de Prévention et Gestion des déchets ménagers</w:t>
            </w:r>
          </w:p>
          <w:p w14:paraId="64BFD9E4" w14:textId="56768AD5" w:rsidR="00495D38" w:rsidRDefault="00245C55" w:rsidP="00495D38">
            <w:pPr>
              <w:pStyle w:val="Paragraphedeliste"/>
              <w:numPr>
                <w:ilvl w:val="0"/>
                <w:numId w:val="4"/>
              </w:numPr>
              <w:autoSpaceDE w:val="0"/>
              <w:autoSpaceDN w:val="0"/>
              <w:adjustRightInd w:val="0"/>
              <w:ind w:left="992" w:hanging="357"/>
              <w:contextualSpacing w:val="0"/>
            </w:pPr>
            <w:r>
              <w:t>La p</w:t>
            </w:r>
            <w:r w:rsidR="00495D38" w:rsidRPr="00866D43">
              <w:t>rise en compte des impacts environnementaux, économiques, sociaux, sociétaux : impact sur le coût aidé du service publi</w:t>
            </w:r>
            <w:r w:rsidR="00495D38">
              <w:t>c</w:t>
            </w:r>
            <w:r w:rsidR="00495D38" w:rsidRPr="00866D43">
              <w:t xml:space="preserve"> de gestion des déchets, lien social, emplois, professionnalisation, nombre de structures mobilisées,</w:t>
            </w:r>
          </w:p>
          <w:p w14:paraId="2F16FE15" w14:textId="53B90D41" w:rsidR="00495D38" w:rsidRPr="00765A12" w:rsidRDefault="00495D38" w:rsidP="00495D38">
            <w:pPr>
              <w:pStyle w:val="Paragraphedeliste"/>
              <w:numPr>
                <w:ilvl w:val="0"/>
                <w:numId w:val="4"/>
              </w:numPr>
              <w:autoSpaceDE w:val="0"/>
              <w:autoSpaceDN w:val="0"/>
              <w:adjustRightInd w:val="0"/>
              <w:ind w:left="992" w:hanging="357"/>
              <w:contextualSpacing w:val="0"/>
            </w:pPr>
            <w:r w:rsidRPr="00765A12">
              <w:t>L’intégration cohérente du projet sur le territoire, parmi l’offre (gisement) et les besoins (retour au sol</w:t>
            </w:r>
            <w:r w:rsidR="001322AF">
              <w:t>, …)</w:t>
            </w:r>
            <w:r>
              <w:t xml:space="preserve"> par un schéma territorial</w:t>
            </w:r>
            <w:r w:rsidRPr="00765A12">
              <w:t xml:space="preserve"> des flux organique (synoptique) sur territoire (gisement et devenir) : situation initiale et à venir</w:t>
            </w:r>
          </w:p>
          <w:p w14:paraId="201E47F1" w14:textId="77777777" w:rsidR="00495D38" w:rsidRDefault="00495D38" w:rsidP="00495D38">
            <w:pPr>
              <w:pStyle w:val="Paragraphedeliste"/>
              <w:numPr>
                <w:ilvl w:val="0"/>
                <w:numId w:val="4"/>
              </w:numPr>
              <w:autoSpaceDE w:val="0"/>
              <w:autoSpaceDN w:val="0"/>
              <w:adjustRightInd w:val="0"/>
              <w:ind w:left="992" w:hanging="357"/>
              <w:contextualSpacing w:val="0"/>
            </w:pPr>
            <w:r>
              <w:t xml:space="preserve">Implication de l’ensemble des parties prenantes autour des biodéchets </w:t>
            </w:r>
            <w:r w:rsidRPr="00765A12">
              <w:t>de</w:t>
            </w:r>
            <w:r>
              <w:t xml:space="preserve"> la production au retour au sol afin de favoriser un ancrage adapté au sein du territoire et sur le long terme de par la mise en œuvre : </w:t>
            </w:r>
          </w:p>
          <w:p w14:paraId="44BAB9FF" w14:textId="2D12740F" w:rsidR="00495D38" w:rsidRDefault="001322AF" w:rsidP="00495D38">
            <w:pPr>
              <w:pStyle w:val="Paragraphedeliste"/>
              <w:numPr>
                <w:ilvl w:val="1"/>
                <w:numId w:val="4"/>
              </w:numPr>
              <w:autoSpaceDE w:val="0"/>
              <w:autoSpaceDN w:val="0"/>
              <w:adjustRightInd w:val="0"/>
              <w:spacing w:before="0"/>
              <w:contextualSpacing w:val="0"/>
            </w:pPr>
            <w:r w:rsidRPr="00765A12">
              <w:t>D’une</w:t>
            </w:r>
            <w:r w:rsidR="00495D38" w:rsidRPr="00765A12">
              <w:t xml:space="preserve"> gouvernance particulière</w:t>
            </w:r>
            <w:r>
              <w:t> </w:t>
            </w:r>
          </w:p>
          <w:p w14:paraId="4A7E567C" w14:textId="05CA979C" w:rsidR="00495D38" w:rsidRDefault="001322AF" w:rsidP="00495D38">
            <w:pPr>
              <w:pStyle w:val="Paragraphedeliste"/>
              <w:numPr>
                <w:ilvl w:val="1"/>
                <w:numId w:val="4"/>
              </w:numPr>
              <w:autoSpaceDE w:val="0"/>
              <w:autoSpaceDN w:val="0"/>
              <w:adjustRightInd w:val="0"/>
              <w:spacing w:before="0"/>
              <w:contextualSpacing w:val="0"/>
            </w:pPr>
            <w:r>
              <w:t>De démarches de concertation </w:t>
            </w:r>
          </w:p>
          <w:p w14:paraId="235303D2" w14:textId="6A99EA2F" w:rsidR="00495D38" w:rsidRPr="00495D38" w:rsidRDefault="001322AF" w:rsidP="00DD756D">
            <w:pPr>
              <w:pStyle w:val="Paragraphedeliste"/>
              <w:numPr>
                <w:ilvl w:val="1"/>
                <w:numId w:val="4"/>
              </w:numPr>
              <w:autoSpaceDE w:val="0"/>
              <w:autoSpaceDN w:val="0"/>
              <w:adjustRightInd w:val="0"/>
              <w:spacing w:before="0"/>
              <w:contextualSpacing w:val="0"/>
            </w:pPr>
            <w:r>
              <w:t>D</w:t>
            </w:r>
            <w:r w:rsidR="00495D38">
              <w:t>e partenariat (secteur agricole pour la question du r</w:t>
            </w:r>
            <w:r>
              <w:t>etour au sol, associations, …)</w:t>
            </w:r>
          </w:p>
        </w:tc>
      </w:tr>
      <w:tr w:rsidR="00495D38" w14:paraId="13AAA873" w14:textId="77777777" w:rsidTr="00495D38">
        <w:tc>
          <w:tcPr>
            <w:tcW w:w="9629" w:type="dxa"/>
          </w:tcPr>
          <w:p w14:paraId="0BEC253F" w14:textId="77777777" w:rsidR="00495D38" w:rsidRDefault="00495D38" w:rsidP="00495D38">
            <w:pPr>
              <w:ind w:firstLine="357"/>
              <w:rPr>
                <w:rFonts w:ascii="Helvetica-Bold" w:hAnsi="Helvetica-Bold" w:cs="Helvetica-Bold"/>
                <w:bCs/>
                <w:i/>
              </w:rPr>
            </w:pPr>
            <w:r w:rsidRPr="00804729">
              <w:rPr>
                <w:rFonts w:ascii="Helvetica-Bold" w:hAnsi="Helvetica-Bold" w:cs="Helvetica-Bold"/>
                <w:bCs/>
                <w:i/>
              </w:rPr>
              <w:t>Faisabilité du projet</w:t>
            </w:r>
          </w:p>
          <w:p w14:paraId="7D5DA851" w14:textId="33923D6E" w:rsidR="00495D38" w:rsidRDefault="00495D38" w:rsidP="00495D38">
            <w:pPr>
              <w:pStyle w:val="Paragraphedeliste"/>
              <w:numPr>
                <w:ilvl w:val="0"/>
                <w:numId w:val="4"/>
              </w:numPr>
              <w:autoSpaceDE w:val="0"/>
              <w:autoSpaceDN w:val="0"/>
              <w:adjustRightInd w:val="0"/>
              <w:ind w:left="992" w:hanging="357"/>
              <w:contextualSpacing w:val="0"/>
            </w:pPr>
            <w:r w:rsidRPr="00804729">
              <w:t xml:space="preserve">Proposition d’accompagnement </w:t>
            </w:r>
            <w:r>
              <w:t xml:space="preserve">novateur </w:t>
            </w:r>
            <w:r w:rsidRPr="00804729">
              <w:t xml:space="preserve">du changement </w:t>
            </w:r>
            <w:r>
              <w:t xml:space="preserve">de comportements </w:t>
            </w:r>
            <w:r w:rsidRPr="00804729">
              <w:t>auprès des producteurs, utilisateurs, …</w:t>
            </w:r>
            <w:r>
              <w:t xml:space="preserve"> : </w:t>
            </w:r>
            <w:r w:rsidRPr="00804729">
              <w:t>formati</w:t>
            </w:r>
            <w:r>
              <w:t>on action, nudge, animation in</w:t>
            </w:r>
            <w:r w:rsidR="00755F0F">
              <w:t xml:space="preserve">novante, défi, foyers témoins, </w:t>
            </w:r>
          </w:p>
          <w:p w14:paraId="0D0F21BE" w14:textId="4AEFA11D" w:rsidR="00495D38" w:rsidRPr="00804729" w:rsidRDefault="00495D38" w:rsidP="00495D38">
            <w:pPr>
              <w:pStyle w:val="Paragraphedeliste"/>
              <w:numPr>
                <w:ilvl w:val="0"/>
                <w:numId w:val="4"/>
              </w:numPr>
              <w:autoSpaceDE w:val="0"/>
              <w:autoSpaceDN w:val="0"/>
              <w:adjustRightInd w:val="0"/>
              <w:ind w:left="992" w:hanging="357"/>
              <w:contextualSpacing w:val="0"/>
            </w:pPr>
            <w:r>
              <w:t>Montée en compétence collective sur le tri à la source des biodéchets</w:t>
            </w:r>
            <w:r w:rsidR="00245C55">
              <w:t xml:space="preserve"> notamment pour la gestion de proximité de biodéchets</w:t>
            </w:r>
          </w:p>
          <w:p w14:paraId="188E224F" w14:textId="77777777" w:rsidR="00495D38" w:rsidRPr="00804729" w:rsidRDefault="00495D38" w:rsidP="00495D38">
            <w:pPr>
              <w:pStyle w:val="Paragraphedeliste"/>
              <w:numPr>
                <w:ilvl w:val="0"/>
                <w:numId w:val="4"/>
              </w:numPr>
              <w:autoSpaceDE w:val="0"/>
              <w:autoSpaceDN w:val="0"/>
              <w:adjustRightInd w:val="0"/>
              <w:ind w:left="992" w:hanging="357"/>
              <w:contextualSpacing w:val="0"/>
            </w:pPr>
            <w:r w:rsidRPr="00804729">
              <w:t xml:space="preserve">Mise en place d’un dispositif qualité concernant les pratiques/le process et l’utilisation de la matière organique, </w:t>
            </w:r>
          </w:p>
          <w:p w14:paraId="7FCDC279" w14:textId="779FE1A4" w:rsidR="00495D38" w:rsidRPr="00495D38" w:rsidRDefault="00495D38" w:rsidP="00495D38">
            <w:pPr>
              <w:pStyle w:val="Paragraphedeliste"/>
              <w:numPr>
                <w:ilvl w:val="0"/>
                <w:numId w:val="4"/>
              </w:numPr>
              <w:autoSpaceDE w:val="0"/>
              <w:autoSpaceDN w:val="0"/>
              <w:adjustRightInd w:val="0"/>
              <w:ind w:left="992" w:hanging="357"/>
              <w:contextualSpacing w:val="0"/>
            </w:pPr>
            <w:r w:rsidRPr="00804729">
              <w:t>Adéquation entre les ressources humaines, compétences des intervenants, et les besoins de l'opération</w:t>
            </w:r>
          </w:p>
        </w:tc>
      </w:tr>
      <w:tr w:rsidR="00495D38" w14:paraId="3E8327B5" w14:textId="77777777" w:rsidTr="00495D38">
        <w:tc>
          <w:tcPr>
            <w:tcW w:w="9629" w:type="dxa"/>
          </w:tcPr>
          <w:p w14:paraId="5A990FC8" w14:textId="77777777" w:rsidR="00495D38" w:rsidRPr="00866D43" w:rsidRDefault="00495D38" w:rsidP="00495D38">
            <w:pPr>
              <w:spacing w:before="240"/>
              <w:ind w:firstLine="357"/>
              <w:rPr>
                <w:rFonts w:ascii="Helvetica-Bold" w:hAnsi="Helvetica-Bold" w:cs="Helvetica-Bold"/>
                <w:bCs/>
                <w:i/>
              </w:rPr>
            </w:pPr>
            <w:r w:rsidRPr="00866D43">
              <w:rPr>
                <w:rFonts w:ascii="Helvetica-Bold" w:hAnsi="Helvetica-Bold" w:cs="Helvetica-Bold"/>
                <w:bCs/>
                <w:i/>
              </w:rPr>
              <w:t>Description des projets</w:t>
            </w:r>
          </w:p>
          <w:p w14:paraId="3CFF4486" w14:textId="77777777" w:rsidR="00495D38" w:rsidRPr="004278F9" w:rsidRDefault="00495D38" w:rsidP="00495D38">
            <w:pPr>
              <w:pStyle w:val="Paragraphedeliste"/>
              <w:numPr>
                <w:ilvl w:val="0"/>
                <w:numId w:val="4"/>
              </w:numPr>
              <w:autoSpaceDE w:val="0"/>
              <w:autoSpaceDN w:val="0"/>
              <w:adjustRightInd w:val="0"/>
              <w:spacing w:before="80"/>
              <w:ind w:left="992" w:hanging="357"/>
              <w:contextualSpacing w:val="0"/>
            </w:pPr>
            <w:r w:rsidRPr="004278F9">
              <w:t xml:space="preserve">Degré de maturité du projet. </w:t>
            </w:r>
          </w:p>
          <w:p w14:paraId="27F48C7E" w14:textId="77777777" w:rsidR="00495D38" w:rsidRPr="004278F9" w:rsidRDefault="00495D38" w:rsidP="00495D38">
            <w:pPr>
              <w:pStyle w:val="Paragraphedeliste"/>
              <w:numPr>
                <w:ilvl w:val="0"/>
                <w:numId w:val="4"/>
              </w:numPr>
              <w:autoSpaceDE w:val="0"/>
              <w:autoSpaceDN w:val="0"/>
              <w:adjustRightInd w:val="0"/>
              <w:spacing w:before="80"/>
              <w:ind w:left="992" w:hanging="357"/>
              <w:contextualSpacing w:val="0"/>
            </w:pPr>
            <w:r w:rsidRPr="004278F9">
              <w:t xml:space="preserve">Qualité de l'argumentaire objectifs clairs étapes détaillées </w:t>
            </w:r>
          </w:p>
          <w:p w14:paraId="6BBE8002" w14:textId="77777777" w:rsidR="00495D38" w:rsidRPr="004278F9" w:rsidRDefault="00495D38" w:rsidP="00495D38">
            <w:pPr>
              <w:pStyle w:val="Paragraphedeliste"/>
              <w:numPr>
                <w:ilvl w:val="0"/>
                <w:numId w:val="4"/>
              </w:numPr>
              <w:autoSpaceDE w:val="0"/>
              <w:autoSpaceDN w:val="0"/>
              <w:adjustRightInd w:val="0"/>
              <w:spacing w:before="80"/>
              <w:ind w:left="992" w:hanging="357"/>
              <w:contextualSpacing w:val="0"/>
            </w:pPr>
            <w:r w:rsidRPr="004278F9">
              <w:t xml:space="preserve">Calendrier défini et crédible </w:t>
            </w:r>
          </w:p>
          <w:p w14:paraId="2FC7F084" w14:textId="77777777" w:rsidR="00495D38" w:rsidRPr="000812C0" w:rsidRDefault="00495D38" w:rsidP="00495D38">
            <w:pPr>
              <w:pStyle w:val="Paragraphedeliste"/>
              <w:numPr>
                <w:ilvl w:val="0"/>
                <w:numId w:val="4"/>
              </w:numPr>
              <w:autoSpaceDE w:val="0"/>
              <w:autoSpaceDN w:val="0"/>
              <w:adjustRightInd w:val="0"/>
              <w:spacing w:before="80"/>
              <w:ind w:left="992" w:hanging="357"/>
              <w:contextualSpacing w:val="0"/>
              <w:rPr>
                <w:rFonts w:ascii="Helvetica-Bold" w:hAnsi="Helvetica-Bold" w:cs="Helvetica-Bold"/>
                <w:bCs/>
                <w:i/>
              </w:rPr>
            </w:pPr>
            <w:r w:rsidRPr="004278F9">
              <w:t xml:space="preserve">Budget prévisionnel, précis, adapté plan de financement adapté, </w:t>
            </w:r>
          </w:p>
          <w:p w14:paraId="7A342BD9" w14:textId="64767734" w:rsidR="000812C0" w:rsidRPr="00804729" w:rsidRDefault="000812C0" w:rsidP="000812C0">
            <w:pPr>
              <w:pStyle w:val="Paragraphedeliste"/>
              <w:autoSpaceDE w:val="0"/>
              <w:autoSpaceDN w:val="0"/>
              <w:adjustRightInd w:val="0"/>
              <w:spacing w:before="80"/>
              <w:ind w:left="992"/>
              <w:contextualSpacing w:val="0"/>
              <w:rPr>
                <w:rFonts w:ascii="Helvetica-Bold" w:hAnsi="Helvetica-Bold" w:cs="Helvetica-Bold"/>
                <w:bCs/>
                <w:i/>
              </w:rPr>
            </w:pPr>
          </w:p>
        </w:tc>
      </w:tr>
    </w:tbl>
    <w:p w14:paraId="62310ED2" w14:textId="77777777" w:rsidR="00495D38" w:rsidRDefault="00495D38" w:rsidP="00DD756D">
      <w:pPr>
        <w:ind w:firstLine="357"/>
        <w:rPr>
          <w:rFonts w:ascii="Helvetica-Bold" w:hAnsi="Helvetica-Bold" w:cs="Helvetica-Bold"/>
          <w:b/>
          <w:bCs/>
          <w:u w:val="single"/>
        </w:rPr>
      </w:pPr>
    </w:p>
    <w:p w14:paraId="1FF90943" w14:textId="49F0CDAB" w:rsidR="00C035DA" w:rsidRDefault="00C035DA" w:rsidP="00DD756D">
      <w:pPr>
        <w:jc w:val="left"/>
      </w:pPr>
      <w:r>
        <w:br w:type="page"/>
      </w:r>
    </w:p>
    <w:p w14:paraId="1A203EAF" w14:textId="2703A8F5" w:rsidR="00034809" w:rsidRPr="003145CE" w:rsidRDefault="00034809" w:rsidP="00034809">
      <w:pPr>
        <w:pStyle w:val="Titre1"/>
        <w:rPr>
          <w:sz w:val="16"/>
          <w:szCs w:val="16"/>
        </w:rPr>
      </w:pPr>
      <w:r>
        <w:lastRenderedPageBreak/>
        <w:t>VIII</w:t>
      </w:r>
      <w:r w:rsidR="001322AF">
        <w:t>.</w:t>
      </w:r>
      <w:r w:rsidRPr="008B4708">
        <w:t xml:space="preserve"> </w:t>
      </w:r>
      <w:r>
        <w:t xml:space="preserve">Conditions de versement des aides </w:t>
      </w:r>
    </w:p>
    <w:p w14:paraId="1C5C9C96" w14:textId="77777777" w:rsidR="00171E82" w:rsidRPr="00171E82" w:rsidRDefault="00171E82" w:rsidP="00171E82"/>
    <w:tbl>
      <w:tblPr>
        <w:tblStyle w:val="Grilledutableau"/>
        <w:tblW w:w="0" w:type="auto"/>
        <w:tblInd w:w="360" w:type="dxa"/>
        <w:tblLook w:val="04A0" w:firstRow="1" w:lastRow="0" w:firstColumn="1" w:lastColumn="0" w:noHBand="0" w:noVBand="1"/>
      </w:tblPr>
      <w:tblGrid>
        <w:gridCol w:w="1706"/>
        <w:gridCol w:w="7563"/>
      </w:tblGrid>
      <w:tr w:rsidR="00FD249F" w14:paraId="32F909AA" w14:textId="77777777" w:rsidTr="00171E82">
        <w:trPr>
          <w:trHeight w:val="3979"/>
        </w:trPr>
        <w:tc>
          <w:tcPr>
            <w:tcW w:w="1706" w:type="dxa"/>
          </w:tcPr>
          <w:p w14:paraId="3CDB993A" w14:textId="3AD80C48" w:rsidR="00FD249F" w:rsidRPr="00FD249F" w:rsidRDefault="00FD249F" w:rsidP="00DD756D">
            <w:pPr>
              <w:autoSpaceDE w:val="0"/>
              <w:autoSpaceDN w:val="0"/>
              <w:adjustRightInd w:val="0"/>
              <w:jc w:val="left"/>
              <w:rPr>
                <w:rFonts w:ascii="Helvetica-Bold" w:hAnsi="Helvetica-Bold" w:cs="Helvetica-Bold"/>
                <w:b/>
                <w:bCs/>
              </w:rPr>
            </w:pPr>
            <w:r w:rsidRPr="00FD249F">
              <w:rPr>
                <w:rFonts w:ascii="Helvetica-Bold" w:hAnsi="Helvetica-Bold" w:cs="Helvetica-Bold"/>
                <w:b/>
                <w:bCs/>
              </w:rPr>
              <w:t>Pour l’ensemble des dossiers et les collectivités compétentes </w:t>
            </w:r>
          </w:p>
        </w:tc>
        <w:tc>
          <w:tcPr>
            <w:tcW w:w="7563" w:type="dxa"/>
          </w:tcPr>
          <w:p w14:paraId="637F5964" w14:textId="77777777" w:rsidR="00FD249F" w:rsidRDefault="00FD249F" w:rsidP="00DD756D">
            <w:pPr>
              <w:pStyle w:val="Paragraphedeliste"/>
              <w:numPr>
                <w:ilvl w:val="0"/>
                <w:numId w:val="4"/>
              </w:numPr>
              <w:autoSpaceDE w:val="0"/>
              <w:autoSpaceDN w:val="0"/>
              <w:adjustRightInd w:val="0"/>
              <w:contextualSpacing w:val="0"/>
            </w:pPr>
            <w:r>
              <w:t>Matrices des coûts validées dans SINOE de manière à mesurer les impacts financiers de l’opération tri à la source des biodéchets – (présence d’une colonne spécifique aux biodéchets)</w:t>
            </w:r>
          </w:p>
          <w:p w14:paraId="27952ACB" w14:textId="5CD787B9" w:rsidR="00FD249F" w:rsidRDefault="00841229" w:rsidP="00DD756D">
            <w:pPr>
              <w:pStyle w:val="Paragraphedeliste"/>
              <w:numPr>
                <w:ilvl w:val="0"/>
                <w:numId w:val="4"/>
              </w:numPr>
              <w:autoSpaceDE w:val="0"/>
              <w:autoSpaceDN w:val="0"/>
              <w:adjustRightInd w:val="0"/>
              <w:contextualSpacing w:val="0"/>
            </w:pPr>
            <w:r>
              <w:t>Répondre</w:t>
            </w:r>
            <w:r w:rsidR="00FD249F">
              <w:t xml:space="preserve"> aux enquêtes déchets de l’Observatoire </w:t>
            </w:r>
            <w:r>
              <w:t xml:space="preserve">de l’environnement en Bretagne ou de l’ADEME </w:t>
            </w:r>
          </w:p>
          <w:p w14:paraId="209782F1" w14:textId="5A0E490E" w:rsidR="00FD249F" w:rsidRDefault="00841229" w:rsidP="00DD756D">
            <w:pPr>
              <w:pStyle w:val="Paragraphedeliste"/>
              <w:numPr>
                <w:ilvl w:val="0"/>
                <w:numId w:val="4"/>
              </w:numPr>
              <w:autoSpaceDE w:val="0"/>
              <w:autoSpaceDN w:val="0"/>
              <w:adjustRightInd w:val="0"/>
              <w:contextualSpacing w:val="0"/>
            </w:pPr>
            <w:r>
              <w:t>M</w:t>
            </w:r>
            <w:r w:rsidR="00FD249F">
              <w:t>ise en œuvre des volets prévention des biodéchets PLPDMA</w:t>
            </w:r>
          </w:p>
          <w:p w14:paraId="6F871F2E" w14:textId="27C14AF0" w:rsidR="00FD249F" w:rsidRDefault="00841229" w:rsidP="00DD756D">
            <w:pPr>
              <w:pStyle w:val="Paragraphedeliste"/>
              <w:numPr>
                <w:ilvl w:val="0"/>
                <w:numId w:val="4"/>
              </w:numPr>
              <w:autoSpaceDE w:val="0"/>
              <w:autoSpaceDN w:val="0"/>
              <w:adjustRightInd w:val="0"/>
              <w:contextualSpacing w:val="0"/>
            </w:pPr>
            <w:r>
              <w:t xml:space="preserve">Etablir un </w:t>
            </w:r>
            <w:r w:rsidR="00FD249F">
              <w:t>bilan de l’opération (objectifs réalisés, réussites, difficultés rencontrées, actions correctives.). Ce bilan inclura des photos des principaux évènements ainsi qu’une copie des supports de communication produits.</w:t>
            </w:r>
          </w:p>
          <w:p w14:paraId="2DC41A6D" w14:textId="41BC46F5" w:rsidR="00FD249F" w:rsidRDefault="00FD249F" w:rsidP="00DD756D">
            <w:pPr>
              <w:pStyle w:val="Paragraphedeliste"/>
              <w:numPr>
                <w:ilvl w:val="0"/>
                <w:numId w:val="4"/>
              </w:numPr>
              <w:autoSpaceDE w:val="0"/>
              <w:autoSpaceDN w:val="0"/>
              <w:adjustRightInd w:val="0"/>
              <w:contextualSpacing w:val="0"/>
            </w:pPr>
            <w:r>
              <w:t>Un tableau reprenant le suivi des indicateurs ainsi qu’un synoptique des flux des biodéchets avec une comparaison avec « l’état initial ».</w:t>
            </w:r>
          </w:p>
          <w:p w14:paraId="4F9219EA" w14:textId="0557A631" w:rsidR="00FD249F" w:rsidRPr="00FD249F" w:rsidRDefault="00FD249F" w:rsidP="00171E82">
            <w:pPr>
              <w:pStyle w:val="Paragraphedeliste"/>
              <w:numPr>
                <w:ilvl w:val="0"/>
                <w:numId w:val="4"/>
              </w:numPr>
              <w:autoSpaceDE w:val="0"/>
              <w:autoSpaceDN w:val="0"/>
              <w:adjustRightInd w:val="0"/>
              <w:contextualSpacing w:val="0"/>
            </w:pPr>
            <w:r w:rsidRPr="00F61DB5">
              <w:t>Rédaction d’une fiche OPTIGEDE</w:t>
            </w:r>
            <w:r>
              <w:t xml:space="preserve"> afin de capitaliser les retours d’expériences et de présenter les résultats finaux de l’opération</w:t>
            </w:r>
          </w:p>
        </w:tc>
      </w:tr>
      <w:tr w:rsidR="00171E82" w14:paraId="7D6DEEE8" w14:textId="77777777" w:rsidTr="00171E82">
        <w:trPr>
          <w:trHeight w:val="3979"/>
        </w:trPr>
        <w:tc>
          <w:tcPr>
            <w:tcW w:w="1706" w:type="dxa"/>
          </w:tcPr>
          <w:p w14:paraId="6FCB8C2D" w14:textId="49E631D1" w:rsidR="00171E82" w:rsidRPr="000812C0" w:rsidRDefault="00171E82" w:rsidP="00171E82">
            <w:pPr>
              <w:rPr>
                <w:b/>
                <w:szCs w:val="20"/>
                <w:u w:val="single"/>
              </w:rPr>
            </w:pPr>
            <w:r w:rsidRPr="000812C0">
              <w:rPr>
                <w:b/>
                <w:szCs w:val="20"/>
              </w:rPr>
              <w:t>Conditions du versement du solde de l’aide</w:t>
            </w:r>
          </w:p>
          <w:p w14:paraId="53BBD30E" w14:textId="77777777" w:rsidR="00171E82" w:rsidRPr="000812C0" w:rsidRDefault="00171E82" w:rsidP="00DD756D">
            <w:pPr>
              <w:autoSpaceDE w:val="0"/>
              <w:autoSpaceDN w:val="0"/>
              <w:adjustRightInd w:val="0"/>
              <w:jc w:val="left"/>
              <w:rPr>
                <w:rFonts w:ascii="Helvetica-Bold" w:hAnsi="Helvetica-Bold" w:cs="Helvetica-Bold"/>
                <w:bCs/>
              </w:rPr>
            </w:pPr>
          </w:p>
        </w:tc>
        <w:tc>
          <w:tcPr>
            <w:tcW w:w="7563" w:type="dxa"/>
          </w:tcPr>
          <w:p w14:paraId="010870DA" w14:textId="77777777" w:rsidR="00171E82" w:rsidRPr="000812C0" w:rsidRDefault="00171E82" w:rsidP="00171E82">
            <w:pPr>
              <w:rPr>
                <w:b/>
              </w:rPr>
            </w:pPr>
            <w:r w:rsidRPr="000812C0">
              <w:rPr>
                <w:b/>
              </w:rPr>
              <w:t>Le versement du soutien à la mise en place de collecte séparée des biodéchets est conditionné à l’atteinte de performance.</w:t>
            </w:r>
          </w:p>
          <w:p w14:paraId="3BDE1916" w14:textId="77777777" w:rsidR="00171E82" w:rsidRPr="000812C0" w:rsidRDefault="00171E82" w:rsidP="00171E82">
            <w:r w:rsidRPr="000812C0">
              <w:t>Le solde de l’aide (a minima 20%) sera conditionné à l’atteinte de deux objectifs :</w:t>
            </w:r>
          </w:p>
          <w:p w14:paraId="52753C2E" w14:textId="7AFF10A9" w:rsidR="00171E82" w:rsidRPr="000812C0" w:rsidRDefault="00171E82" w:rsidP="00171E82">
            <w:pPr>
              <w:pStyle w:val="Paragraphedeliste"/>
              <w:numPr>
                <w:ilvl w:val="0"/>
                <w:numId w:val="8"/>
              </w:numPr>
              <w:suppressAutoHyphens/>
              <w:spacing w:before="0"/>
              <w:ind w:left="720"/>
            </w:pPr>
            <w:r w:rsidRPr="000812C0">
              <w:t xml:space="preserve">La baisse de la production d’OMR (baisse attendue de 15 à 30 % </w:t>
            </w:r>
          </w:p>
          <w:p w14:paraId="7692982F" w14:textId="77777777" w:rsidR="00171E82" w:rsidRPr="000812C0" w:rsidRDefault="00171E82" w:rsidP="00171E82">
            <w:pPr>
              <w:pStyle w:val="Paragraphedeliste"/>
              <w:numPr>
                <w:ilvl w:val="0"/>
                <w:numId w:val="8"/>
              </w:numPr>
              <w:suppressAutoHyphens/>
              <w:spacing w:before="0"/>
              <w:ind w:left="720"/>
            </w:pPr>
            <w:r w:rsidRPr="000812C0">
              <w:t>La baisse ou la stabilisation du couple [OMR + biodéchets] à l’issue de la convention par rapport à la production d’OMR au moment de la contractualisation de la convention soit :</w:t>
            </w:r>
          </w:p>
          <w:p w14:paraId="70E53D5B" w14:textId="7D7DA5AA" w:rsidR="00171E82" w:rsidRPr="000812C0" w:rsidRDefault="000812C0" w:rsidP="00171E82">
            <w:pPr>
              <w:pStyle w:val="Paragraphedeliste"/>
              <w:jc w:val="center"/>
            </w:pPr>
            <m:oMath>
              <m:r>
                <w:rPr>
                  <w:rFonts w:ascii="Cambria Math" w:hAnsi="Cambria Math"/>
                </w:rPr>
                <m:t xml:space="preserve">Quantité </m:t>
              </m:r>
              <m:sSub>
                <m:sSubPr>
                  <m:ctrlPr>
                    <w:rPr>
                      <w:rFonts w:ascii="Cambria Math" w:hAnsi="Cambria Math"/>
                      <w:i/>
                    </w:rPr>
                  </m:ctrlPr>
                </m:sSubPr>
                <m:e>
                  <m:r>
                    <w:rPr>
                      <w:rFonts w:ascii="Cambria Math" w:hAnsi="Cambria Math"/>
                    </w:rPr>
                    <m:t>[OMR+biodéchets]</m:t>
                  </m:r>
                </m:e>
                <m:sub>
                  <m:r>
                    <w:rPr>
                      <w:rFonts w:ascii="Cambria Math" w:hAnsi="Cambria Math"/>
                    </w:rPr>
                    <m:t>N+3</m:t>
                  </m:r>
                </m:sub>
              </m:sSub>
              <m:r>
                <w:rPr>
                  <w:rFonts w:ascii="Cambria Math" w:hAnsi="Cambria Math"/>
                </w:rPr>
                <m:t>≤Quantité</m:t>
              </m:r>
              <m:sSub>
                <m:sSubPr>
                  <m:ctrlPr>
                    <w:rPr>
                      <w:rFonts w:ascii="Cambria Math" w:hAnsi="Cambria Math"/>
                      <w:i/>
                    </w:rPr>
                  </m:ctrlPr>
                </m:sSubPr>
                <m:e>
                  <m:r>
                    <w:rPr>
                      <w:rFonts w:ascii="Cambria Math" w:hAnsi="Cambria Math"/>
                    </w:rPr>
                    <m:t>[OMR]</m:t>
                  </m:r>
                </m:e>
                <m:sub>
                  <m:r>
                    <w:rPr>
                      <w:rFonts w:ascii="Cambria Math" w:hAnsi="Cambria Math"/>
                    </w:rPr>
                    <m:t>N</m:t>
                  </m:r>
                </m:sub>
              </m:sSub>
            </m:oMath>
            <w:r w:rsidR="00171E82" w:rsidRPr="000812C0">
              <w:t xml:space="preserve"> </w:t>
            </w:r>
            <w:r w:rsidR="00171E82" w:rsidRPr="000812C0">
              <w:rPr>
                <w:i/>
              </w:rPr>
              <w:t>(N désignant l’année de contractualisation</w:t>
            </w:r>
            <w:r w:rsidR="00171E82" w:rsidRPr="000812C0">
              <w:t>)</w:t>
            </w:r>
          </w:p>
          <w:p w14:paraId="256FB6AF" w14:textId="77777777" w:rsidR="00171E82" w:rsidRPr="000812C0" w:rsidRDefault="00171E82" w:rsidP="00171E82"/>
          <w:p w14:paraId="0BFCD559" w14:textId="77777777" w:rsidR="00171E82" w:rsidRPr="000812C0" w:rsidRDefault="00171E82" w:rsidP="00171E82">
            <w:pPr>
              <w:rPr>
                <w:b/>
              </w:rPr>
            </w:pPr>
            <w:r w:rsidRPr="000812C0">
              <w:rPr>
                <w:b/>
              </w:rPr>
              <w:t xml:space="preserve">En cas de renoncement par le bénéficiaire de la mise en place effective de la collecte séparée, l’ADEME pourrait retirer tout ou partie de l’aide. </w:t>
            </w:r>
          </w:p>
          <w:p w14:paraId="679C9786" w14:textId="77777777" w:rsidR="00171E82" w:rsidRPr="000812C0" w:rsidRDefault="00171E82" w:rsidP="00296A0C">
            <w:pPr>
              <w:pStyle w:val="Paragraphedeliste"/>
              <w:autoSpaceDE w:val="0"/>
              <w:autoSpaceDN w:val="0"/>
              <w:adjustRightInd w:val="0"/>
              <w:contextualSpacing w:val="0"/>
            </w:pPr>
          </w:p>
        </w:tc>
      </w:tr>
    </w:tbl>
    <w:p w14:paraId="56B6D73D" w14:textId="77777777" w:rsidR="00753FC4" w:rsidRDefault="00753FC4" w:rsidP="00753FC4">
      <w:pPr>
        <w:spacing w:before="0" w:after="200" w:line="276" w:lineRule="auto"/>
        <w:jc w:val="left"/>
      </w:pPr>
    </w:p>
    <w:p w14:paraId="3C5E443E" w14:textId="77777777" w:rsidR="00753FC4" w:rsidRPr="00753FC4" w:rsidRDefault="00753FC4" w:rsidP="00753FC4">
      <w:pPr>
        <w:pStyle w:val="Titre1"/>
        <w:rPr>
          <w:sz w:val="20"/>
        </w:rPr>
      </w:pPr>
    </w:p>
    <w:p w14:paraId="2988A49B" w14:textId="7C2BEE34" w:rsidR="00BB26F4" w:rsidRDefault="00034809" w:rsidP="00753FC4">
      <w:pPr>
        <w:pStyle w:val="Titre1"/>
      </w:pPr>
      <w:r>
        <w:t>IX</w:t>
      </w:r>
      <w:r w:rsidR="001322AF">
        <w:t>.</w:t>
      </w:r>
      <w:r>
        <w:t xml:space="preserve"> </w:t>
      </w:r>
      <w:r w:rsidR="001322AF">
        <w:t>Procédure</w:t>
      </w:r>
      <w:r w:rsidR="00E72782">
        <w:t xml:space="preserve"> et calendrier </w:t>
      </w:r>
    </w:p>
    <w:p w14:paraId="576B3C02" w14:textId="77777777" w:rsidR="00E72782" w:rsidRDefault="00E72782" w:rsidP="00BB26F4"/>
    <w:p w14:paraId="006BCC9B" w14:textId="15FCA618" w:rsidR="00BB26F4" w:rsidRDefault="001322AF" w:rsidP="00BB26F4">
      <w:r>
        <w:t>Les documents relatifs à l’Appel à P</w:t>
      </w:r>
      <w:r w:rsidR="00BB26F4">
        <w:t>rojet</w:t>
      </w:r>
      <w:r>
        <w:t>s</w:t>
      </w:r>
      <w:r w:rsidR="00BB26F4">
        <w:t xml:space="preserve"> (cahier des charges,</w:t>
      </w:r>
      <w:r w:rsidR="000812C0">
        <w:t xml:space="preserve"> volets technique et financier</w:t>
      </w:r>
      <w:r w:rsidR="00BB26F4">
        <w:t xml:space="preserve">) sont téléchargeables sur </w:t>
      </w:r>
      <w:r w:rsidR="00F04C52">
        <w:t>le site « </w:t>
      </w:r>
      <w:r w:rsidR="0016034D">
        <w:t>Agir pour la transition écologique</w:t>
      </w:r>
      <w:r w:rsidR="00F04C52">
        <w:t> »</w:t>
      </w:r>
      <w:r w:rsidR="00BB26F4">
        <w:t> :</w:t>
      </w:r>
      <w:r w:rsidR="00F04C52">
        <w:t xml:space="preserve"> </w:t>
      </w:r>
      <w:hyperlink r:id="rId19" w:history="1">
        <w:r w:rsidRPr="00140CA8">
          <w:rPr>
            <w:rStyle w:val="Lienhypertexte"/>
          </w:rPr>
          <w:t>https://agirpourlatransition.ademe.fr/entreprises/dispositif-aide/20210426/biodechets2021-90</w:t>
        </w:r>
      </w:hyperlink>
      <w:r>
        <w:t xml:space="preserve"> </w:t>
      </w:r>
    </w:p>
    <w:p w14:paraId="3DC2D7C0" w14:textId="570AB847" w:rsidR="00F04C52" w:rsidRPr="002E0DF7" w:rsidRDefault="00ED25A0" w:rsidP="00F04C52">
      <w:pPr>
        <w:spacing w:after="120"/>
        <w:rPr>
          <w:rFonts w:ascii="Helvetica" w:hAnsi="Helvetica" w:cs="Helvetica"/>
          <w:i/>
          <w:color w:val="FF0000"/>
        </w:rPr>
      </w:pPr>
      <w:r w:rsidRPr="00ED25A0">
        <w:rPr>
          <w:rFonts w:cs="Arial"/>
          <w:szCs w:val="20"/>
        </w:rPr>
        <w:t>Pour permettre aux collectivités de démarrer les</w:t>
      </w:r>
      <w:r w:rsidR="00F04C52">
        <w:rPr>
          <w:rFonts w:cs="Arial"/>
          <w:szCs w:val="20"/>
        </w:rPr>
        <w:t xml:space="preserve"> études </w:t>
      </w:r>
      <w:r w:rsidRPr="00ED25A0">
        <w:rPr>
          <w:rFonts w:cs="Arial"/>
          <w:szCs w:val="20"/>
        </w:rPr>
        <w:t>le plus rapidement possible, les dossiers</w:t>
      </w:r>
      <w:r w:rsidR="00390A97">
        <w:rPr>
          <w:rFonts w:cs="Arial"/>
          <w:szCs w:val="20"/>
        </w:rPr>
        <w:t xml:space="preserve"> du volet 1 </w:t>
      </w:r>
      <w:r w:rsidRPr="00ED25A0">
        <w:rPr>
          <w:rFonts w:cs="Arial"/>
          <w:szCs w:val="20"/>
        </w:rPr>
        <w:t xml:space="preserve"> pourront </w:t>
      </w:r>
      <w:r w:rsidR="00F04C52">
        <w:rPr>
          <w:rFonts w:cs="Arial"/>
          <w:szCs w:val="20"/>
        </w:rPr>
        <w:t xml:space="preserve">être déposés au fil de l’eau sur la plateforme </w:t>
      </w:r>
      <w:hyperlink r:id="rId20" w:history="1">
        <w:r w:rsidR="00F04C52" w:rsidRPr="002A4547">
          <w:rPr>
            <w:rStyle w:val="Lienhypertexte"/>
            <w:rFonts w:ascii="Helvetica" w:hAnsi="Helvetica" w:cs="Helvetica"/>
            <w:i/>
          </w:rPr>
          <w:t>https://agirpourlatransition.ademe.fr/entreprises/dispositif-aide/subvention-a-etude-prealable-tri-a-source-biodechets-menages</w:t>
        </w:r>
      </w:hyperlink>
    </w:p>
    <w:p w14:paraId="54337EBD" w14:textId="65245999" w:rsidR="001322AF" w:rsidRDefault="001322AF" w:rsidP="00BB26F4">
      <w:pPr>
        <w:rPr>
          <w:rFonts w:cs="Arial"/>
          <w:strike/>
          <w:szCs w:val="20"/>
        </w:rPr>
      </w:pPr>
    </w:p>
    <w:p w14:paraId="48D2B62D" w14:textId="4771A31E" w:rsidR="001322AF" w:rsidRPr="00DC1F97" w:rsidRDefault="001322AF" w:rsidP="00BB26F4">
      <w:pPr>
        <w:rPr>
          <w:rFonts w:cs="Arial"/>
          <w:szCs w:val="20"/>
        </w:rPr>
      </w:pPr>
      <w:r w:rsidRPr="00DC1F97">
        <w:rPr>
          <w:rFonts w:cs="Arial"/>
          <w:szCs w:val="20"/>
        </w:rPr>
        <w:t>Les pièces constituantes du dossier de candidature déposé à l’Appel à Projets sont :</w:t>
      </w:r>
    </w:p>
    <w:p w14:paraId="6D8B919C" w14:textId="14A01F0F" w:rsidR="001322AF" w:rsidRPr="00DC1F97" w:rsidRDefault="001322AF" w:rsidP="001322AF">
      <w:pPr>
        <w:rPr>
          <w:rFonts w:cs="Arial"/>
          <w:szCs w:val="20"/>
          <w:u w:val="single"/>
        </w:rPr>
      </w:pPr>
      <w:r w:rsidRPr="00DC1F97">
        <w:rPr>
          <w:rFonts w:cs="Arial"/>
          <w:szCs w:val="20"/>
          <w:u w:val="single"/>
        </w:rPr>
        <w:t>Volet 1 :</w:t>
      </w:r>
    </w:p>
    <w:p w14:paraId="01BA3ACD" w14:textId="2B773F39" w:rsidR="00407879" w:rsidRPr="00DC1F97" w:rsidRDefault="001322AF" w:rsidP="00407879">
      <w:pPr>
        <w:pStyle w:val="Paragraphedeliste"/>
        <w:numPr>
          <w:ilvl w:val="0"/>
          <w:numId w:val="8"/>
        </w:numPr>
        <w:ind w:left="284" w:hanging="284"/>
        <w:rPr>
          <w:rFonts w:cs="Arial"/>
          <w:szCs w:val="20"/>
        </w:rPr>
      </w:pPr>
      <w:r w:rsidRPr="00DC1F97">
        <w:rPr>
          <w:rFonts w:cs="Arial"/>
          <w:szCs w:val="20"/>
        </w:rPr>
        <w:t>Cahier des charges du projet d’étude</w:t>
      </w:r>
      <w:r w:rsidR="00D34B97">
        <w:rPr>
          <w:rFonts w:cs="Arial"/>
          <w:szCs w:val="20"/>
        </w:rPr>
        <w:t xml:space="preserve"> (</w:t>
      </w:r>
      <w:r w:rsidR="007B55AD">
        <w:rPr>
          <w:rFonts w:cs="Arial"/>
          <w:szCs w:val="20"/>
        </w:rPr>
        <w:t>obligatoirement</w:t>
      </w:r>
      <w:r w:rsidR="00D34B97">
        <w:rPr>
          <w:rFonts w:cs="Arial"/>
          <w:szCs w:val="20"/>
        </w:rPr>
        <w:t>)</w:t>
      </w:r>
    </w:p>
    <w:p w14:paraId="635EFE9E" w14:textId="7ADBD1FF" w:rsidR="00407879" w:rsidRPr="00DC1F97" w:rsidRDefault="003345E6" w:rsidP="00407879">
      <w:pPr>
        <w:pStyle w:val="Paragraphedeliste"/>
        <w:numPr>
          <w:ilvl w:val="0"/>
          <w:numId w:val="8"/>
        </w:numPr>
        <w:ind w:left="284" w:hanging="284"/>
        <w:rPr>
          <w:rFonts w:cs="Arial"/>
          <w:szCs w:val="20"/>
        </w:rPr>
      </w:pPr>
      <w:r>
        <w:rPr>
          <w:rFonts w:cs="Arial"/>
          <w:szCs w:val="20"/>
        </w:rPr>
        <w:t xml:space="preserve">Proposition </w:t>
      </w:r>
      <w:r w:rsidRPr="00DC1F97">
        <w:rPr>
          <w:rFonts w:cs="Arial"/>
          <w:szCs w:val="20"/>
        </w:rPr>
        <w:t>technique</w:t>
      </w:r>
      <w:r w:rsidR="00407879" w:rsidRPr="00DC1F97">
        <w:rPr>
          <w:rFonts w:cs="Arial"/>
          <w:szCs w:val="20"/>
        </w:rPr>
        <w:t xml:space="preserve"> </w:t>
      </w:r>
      <w:r w:rsidR="00D34B97">
        <w:rPr>
          <w:rFonts w:cs="Arial"/>
          <w:szCs w:val="20"/>
        </w:rPr>
        <w:t xml:space="preserve">et financière du bureau d’études retenu </w:t>
      </w:r>
      <w:r w:rsidR="00407879" w:rsidRPr="00DC1F97">
        <w:rPr>
          <w:rFonts w:cs="Arial"/>
          <w:szCs w:val="20"/>
        </w:rPr>
        <w:t>(</w:t>
      </w:r>
      <w:r w:rsidR="00DD0B0D">
        <w:rPr>
          <w:rFonts w:cs="Arial"/>
          <w:szCs w:val="20"/>
        </w:rPr>
        <w:t>document pouvant être communiqué a posteriori du dépôt de dossier</w:t>
      </w:r>
      <w:r w:rsidR="00407879" w:rsidRPr="00DC1F97">
        <w:rPr>
          <w:rFonts w:cs="Arial"/>
          <w:szCs w:val="20"/>
        </w:rPr>
        <w:t>)</w:t>
      </w:r>
    </w:p>
    <w:p w14:paraId="1EF0A9D7" w14:textId="53F43BBB" w:rsidR="00407879" w:rsidRPr="003345E6" w:rsidRDefault="00407879" w:rsidP="003345E6">
      <w:pPr>
        <w:pStyle w:val="Paragraphedeliste"/>
        <w:ind w:left="284"/>
        <w:rPr>
          <w:rFonts w:cs="Arial"/>
          <w:szCs w:val="20"/>
        </w:rPr>
      </w:pPr>
    </w:p>
    <w:p w14:paraId="139C8E54" w14:textId="09ABA73C" w:rsidR="00407879" w:rsidRPr="00DC1F97" w:rsidRDefault="00407879" w:rsidP="00407879">
      <w:pPr>
        <w:rPr>
          <w:rFonts w:cs="Arial"/>
          <w:szCs w:val="20"/>
          <w:u w:val="single"/>
        </w:rPr>
      </w:pPr>
      <w:r w:rsidRPr="00DC1F97">
        <w:rPr>
          <w:rFonts w:cs="Arial"/>
          <w:szCs w:val="20"/>
          <w:u w:val="single"/>
        </w:rPr>
        <w:t>Volet 2 :</w:t>
      </w:r>
    </w:p>
    <w:p w14:paraId="193B52E9" w14:textId="353FBA23" w:rsidR="00407879" w:rsidRPr="00DC1F97" w:rsidRDefault="00407879" w:rsidP="00407879">
      <w:pPr>
        <w:pStyle w:val="Paragraphedeliste"/>
        <w:numPr>
          <w:ilvl w:val="0"/>
          <w:numId w:val="8"/>
        </w:numPr>
        <w:ind w:left="284" w:hanging="284"/>
        <w:rPr>
          <w:rFonts w:cs="Arial"/>
          <w:szCs w:val="20"/>
        </w:rPr>
      </w:pPr>
      <w:r w:rsidRPr="00DC1F97">
        <w:rPr>
          <w:rFonts w:cs="Arial"/>
          <w:szCs w:val="20"/>
        </w:rPr>
        <w:t>Volet technique Gestion de Proximité des Biodéchets</w:t>
      </w:r>
    </w:p>
    <w:p w14:paraId="68D4AB00" w14:textId="109D4595" w:rsidR="00407879" w:rsidRPr="00DC1F97" w:rsidRDefault="00407879" w:rsidP="00407879">
      <w:pPr>
        <w:pStyle w:val="Paragraphedeliste"/>
        <w:numPr>
          <w:ilvl w:val="0"/>
          <w:numId w:val="8"/>
        </w:numPr>
        <w:ind w:left="284" w:hanging="284"/>
        <w:rPr>
          <w:rFonts w:cs="Arial"/>
          <w:szCs w:val="20"/>
        </w:rPr>
      </w:pPr>
      <w:r w:rsidRPr="00DC1F97">
        <w:rPr>
          <w:rFonts w:cs="Arial"/>
          <w:szCs w:val="20"/>
        </w:rPr>
        <w:t>Volet financier AAP Biodéchets</w:t>
      </w:r>
    </w:p>
    <w:p w14:paraId="7C8328B6" w14:textId="7B37763B" w:rsidR="00407879" w:rsidRPr="00DC1F97" w:rsidRDefault="00407879" w:rsidP="00407879">
      <w:pPr>
        <w:rPr>
          <w:rFonts w:cs="Arial"/>
          <w:szCs w:val="20"/>
          <w:u w:val="single"/>
        </w:rPr>
      </w:pPr>
      <w:r w:rsidRPr="00DC1F97">
        <w:rPr>
          <w:rFonts w:cs="Arial"/>
          <w:szCs w:val="20"/>
          <w:u w:val="single"/>
        </w:rPr>
        <w:t>Volet 3 :</w:t>
      </w:r>
    </w:p>
    <w:p w14:paraId="19BFBDE1" w14:textId="2B27300C" w:rsidR="00407879" w:rsidRPr="00DC1F97" w:rsidRDefault="00407879" w:rsidP="00407879">
      <w:pPr>
        <w:pStyle w:val="Paragraphedeliste"/>
        <w:numPr>
          <w:ilvl w:val="0"/>
          <w:numId w:val="8"/>
        </w:numPr>
        <w:ind w:left="284" w:hanging="284"/>
        <w:rPr>
          <w:rFonts w:cs="Arial"/>
          <w:szCs w:val="20"/>
        </w:rPr>
      </w:pPr>
      <w:r w:rsidRPr="00DC1F97">
        <w:rPr>
          <w:rFonts w:cs="Arial"/>
          <w:szCs w:val="20"/>
        </w:rPr>
        <w:t>Volet technique Expérimentation collecte séparée OU Volet technique Collecte séparée Biodéchets</w:t>
      </w:r>
    </w:p>
    <w:p w14:paraId="196AFDB3" w14:textId="29972CD1" w:rsidR="00407879" w:rsidRPr="00DC1F97" w:rsidRDefault="00407879" w:rsidP="00407879">
      <w:pPr>
        <w:pStyle w:val="Paragraphedeliste"/>
        <w:numPr>
          <w:ilvl w:val="0"/>
          <w:numId w:val="8"/>
        </w:numPr>
        <w:ind w:left="284" w:hanging="284"/>
        <w:rPr>
          <w:rFonts w:cs="Arial"/>
          <w:szCs w:val="20"/>
        </w:rPr>
      </w:pPr>
      <w:r w:rsidRPr="00DC1F97">
        <w:rPr>
          <w:rFonts w:cs="Arial"/>
          <w:szCs w:val="20"/>
        </w:rPr>
        <w:t>Volet financier AAP Biodéchets</w:t>
      </w:r>
    </w:p>
    <w:p w14:paraId="279F1C01" w14:textId="4C293C43" w:rsidR="00407879" w:rsidRPr="00DC1F97" w:rsidRDefault="00407879" w:rsidP="00407879">
      <w:pPr>
        <w:rPr>
          <w:rFonts w:cs="Arial"/>
          <w:szCs w:val="20"/>
          <w:u w:val="single"/>
        </w:rPr>
      </w:pPr>
      <w:r w:rsidRPr="00DC1F97">
        <w:rPr>
          <w:rFonts w:cs="Arial"/>
          <w:szCs w:val="20"/>
          <w:u w:val="single"/>
        </w:rPr>
        <w:t>Volet 4 :</w:t>
      </w:r>
    </w:p>
    <w:p w14:paraId="64F9B3EC" w14:textId="37D83BA2" w:rsidR="00407879" w:rsidRPr="00DC1F97" w:rsidRDefault="00407879" w:rsidP="00407879">
      <w:pPr>
        <w:pStyle w:val="Paragraphedeliste"/>
        <w:numPr>
          <w:ilvl w:val="0"/>
          <w:numId w:val="8"/>
        </w:numPr>
        <w:ind w:left="284" w:hanging="284"/>
        <w:rPr>
          <w:rFonts w:cs="Arial"/>
          <w:szCs w:val="20"/>
        </w:rPr>
      </w:pPr>
      <w:r w:rsidRPr="00DC1F97">
        <w:rPr>
          <w:rFonts w:cs="Arial"/>
          <w:szCs w:val="20"/>
        </w:rPr>
        <w:t>Volet technique Plateforme de traitement par compostage</w:t>
      </w:r>
    </w:p>
    <w:p w14:paraId="7D7476D0" w14:textId="18791B0D" w:rsidR="00407879" w:rsidRPr="00DC1F97" w:rsidRDefault="00407879" w:rsidP="00407879">
      <w:pPr>
        <w:pStyle w:val="Paragraphedeliste"/>
        <w:numPr>
          <w:ilvl w:val="0"/>
          <w:numId w:val="8"/>
        </w:numPr>
        <w:ind w:left="284" w:hanging="284"/>
        <w:rPr>
          <w:rFonts w:cs="Arial"/>
          <w:szCs w:val="20"/>
        </w:rPr>
      </w:pPr>
      <w:r w:rsidRPr="00DC1F97">
        <w:rPr>
          <w:rFonts w:cs="Arial"/>
          <w:szCs w:val="20"/>
        </w:rPr>
        <w:t>Volet financier AAP Biodéchets</w:t>
      </w:r>
    </w:p>
    <w:p w14:paraId="5D04CFEC" w14:textId="62CB10BC" w:rsidR="00F04C52" w:rsidRPr="00ED25A0" w:rsidRDefault="00F04C52" w:rsidP="00BB26F4">
      <w:pPr>
        <w:rPr>
          <w:szCs w:val="20"/>
        </w:rPr>
      </w:pPr>
    </w:p>
    <w:tbl>
      <w:tblPr>
        <w:tblStyle w:val="Grilledutableau"/>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366"/>
      </w:tblGrid>
      <w:tr w:rsidR="00BB26F4" w14:paraId="048527EB" w14:textId="77777777" w:rsidTr="00C64205">
        <w:trPr>
          <w:jc w:val="center"/>
        </w:trPr>
        <w:tc>
          <w:tcPr>
            <w:tcW w:w="7366" w:type="dxa"/>
          </w:tcPr>
          <w:p w14:paraId="20E9F742" w14:textId="17AEAB08" w:rsidR="00BB26F4" w:rsidRPr="00A119C4" w:rsidRDefault="00BB26F4" w:rsidP="00C64205">
            <w:pPr>
              <w:jc w:val="center"/>
              <w:rPr>
                <w:u w:val="single"/>
              </w:rPr>
            </w:pPr>
            <w:r w:rsidRPr="00A119C4">
              <w:rPr>
                <w:u w:val="single"/>
              </w:rPr>
              <w:t>Date</w:t>
            </w:r>
            <w:r w:rsidR="00C64205" w:rsidRPr="00A119C4">
              <w:rPr>
                <w:u w:val="single"/>
              </w:rPr>
              <w:t>s</w:t>
            </w:r>
            <w:r w:rsidRPr="00A119C4">
              <w:rPr>
                <w:u w:val="single"/>
              </w:rPr>
              <w:t xml:space="preserve"> limite</w:t>
            </w:r>
            <w:r w:rsidR="00C64205" w:rsidRPr="00A119C4">
              <w:rPr>
                <w:u w:val="single"/>
              </w:rPr>
              <w:t>s</w:t>
            </w:r>
            <w:r w:rsidRPr="00A119C4">
              <w:rPr>
                <w:u w:val="single"/>
              </w:rPr>
              <w:t xml:space="preserve"> de dépôt des dossiers</w:t>
            </w:r>
            <w:r w:rsidR="00171E82" w:rsidRPr="00A119C4">
              <w:rPr>
                <w:u w:val="single"/>
              </w:rPr>
              <w:t xml:space="preserve"> pour le</w:t>
            </w:r>
            <w:r w:rsidR="00EF083E" w:rsidRPr="00A119C4">
              <w:rPr>
                <w:u w:val="single"/>
              </w:rPr>
              <w:t>s</w:t>
            </w:r>
            <w:r w:rsidR="00171E82" w:rsidRPr="00A119C4">
              <w:rPr>
                <w:u w:val="single"/>
              </w:rPr>
              <w:t xml:space="preserve"> volet</w:t>
            </w:r>
            <w:r w:rsidR="00EF083E" w:rsidRPr="00A119C4">
              <w:rPr>
                <w:u w:val="single"/>
              </w:rPr>
              <w:t>s 2,</w:t>
            </w:r>
            <w:r w:rsidR="00171E82" w:rsidRPr="00A119C4">
              <w:rPr>
                <w:u w:val="single"/>
              </w:rPr>
              <w:t xml:space="preserve"> 3 </w:t>
            </w:r>
            <w:r w:rsidR="00EF083E" w:rsidRPr="00A119C4">
              <w:rPr>
                <w:u w:val="single"/>
              </w:rPr>
              <w:t>et 4</w:t>
            </w:r>
            <w:r w:rsidRPr="00A119C4">
              <w:rPr>
                <w:u w:val="single"/>
              </w:rPr>
              <w:t> :</w:t>
            </w:r>
          </w:p>
          <w:p w14:paraId="0690DC17" w14:textId="1885E4B2" w:rsidR="00171E82" w:rsidRPr="00A119C4" w:rsidRDefault="000812C0" w:rsidP="00171E82">
            <w:pPr>
              <w:pStyle w:val="Paragraphedeliste"/>
              <w:numPr>
                <w:ilvl w:val="0"/>
                <w:numId w:val="4"/>
              </w:numPr>
              <w:suppressAutoHyphens/>
              <w:rPr>
                <w:rFonts w:eastAsia="SimSun" w:cs="Arial"/>
                <w:b/>
                <w:szCs w:val="20"/>
                <w:lang w:eastAsia="zh-CN"/>
              </w:rPr>
            </w:pPr>
            <w:r w:rsidRPr="00A119C4">
              <w:rPr>
                <w:rFonts w:eastAsia="SimSun" w:cs="Arial"/>
                <w:b/>
                <w:szCs w:val="20"/>
                <w:lang w:eastAsia="zh-CN"/>
              </w:rPr>
              <w:t xml:space="preserve">5 </w:t>
            </w:r>
            <w:r w:rsidR="00171E82" w:rsidRPr="00A119C4">
              <w:rPr>
                <w:rFonts w:eastAsia="SimSun" w:cs="Arial"/>
                <w:b/>
                <w:szCs w:val="20"/>
                <w:lang w:eastAsia="zh-CN"/>
              </w:rPr>
              <w:t>Avril 2021</w:t>
            </w:r>
          </w:p>
          <w:p w14:paraId="52C00457" w14:textId="48DAD9EF" w:rsidR="00171E82" w:rsidRPr="00A119C4" w:rsidRDefault="000812C0" w:rsidP="00171E82">
            <w:pPr>
              <w:pStyle w:val="Paragraphedeliste"/>
              <w:numPr>
                <w:ilvl w:val="0"/>
                <w:numId w:val="4"/>
              </w:numPr>
              <w:suppressAutoHyphens/>
              <w:rPr>
                <w:rFonts w:eastAsia="SimSun" w:cs="Arial"/>
                <w:b/>
                <w:szCs w:val="20"/>
                <w:lang w:eastAsia="zh-CN"/>
              </w:rPr>
            </w:pPr>
            <w:r w:rsidRPr="00A119C4">
              <w:rPr>
                <w:rFonts w:eastAsia="SimSun" w:cs="Arial"/>
                <w:b/>
                <w:szCs w:val="20"/>
                <w:lang w:eastAsia="zh-CN"/>
              </w:rPr>
              <w:t xml:space="preserve">7 </w:t>
            </w:r>
            <w:r w:rsidR="002C4526" w:rsidRPr="00A119C4">
              <w:rPr>
                <w:rFonts w:eastAsia="SimSun" w:cs="Arial"/>
                <w:b/>
                <w:szCs w:val="20"/>
                <w:lang w:eastAsia="zh-CN"/>
              </w:rPr>
              <w:t>J</w:t>
            </w:r>
            <w:r w:rsidR="00171E82" w:rsidRPr="00A119C4">
              <w:rPr>
                <w:rFonts w:eastAsia="SimSun" w:cs="Arial"/>
                <w:b/>
                <w:szCs w:val="20"/>
                <w:lang w:eastAsia="zh-CN"/>
              </w:rPr>
              <w:t>uin 2021</w:t>
            </w:r>
          </w:p>
          <w:p w14:paraId="494E185F" w14:textId="051BD716" w:rsidR="00171E82" w:rsidRPr="00A119C4" w:rsidRDefault="000812C0" w:rsidP="002C4526">
            <w:pPr>
              <w:pStyle w:val="Paragraphedeliste"/>
              <w:numPr>
                <w:ilvl w:val="0"/>
                <w:numId w:val="4"/>
              </w:numPr>
              <w:suppressAutoHyphens/>
              <w:rPr>
                <w:rFonts w:eastAsia="SimSun" w:cs="Arial"/>
                <w:b/>
                <w:szCs w:val="20"/>
                <w:lang w:eastAsia="zh-CN"/>
              </w:rPr>
            </w:pPr>
            <w:r w:rsidRPr="00A119C4">
              <w:rPr>
                <w:rFonts w:eastAsia="SimSun" w:cs="Arial"/>
                <w:b/>
                <w:szCs w:val="20"/>
                <w:lang w:eastAsia="zh-CN"/>
              </w:rPr>
              <w:t xml:space="preserve">6 </w:t>
            </w:r>
            <w:r w:rsidR="002C4526" w:rsidRPr="00A119C4">
              <w:rPr>
                <w:rFonts w:eastAsia="SimSun" w:cs="Arial"/>
                <w:b/>
                <w:szCs w:val="20"/>
                <w:lang w:eastAsia="zh-CN"/>
              </w:rPr>
              <w:t>S</w:t>
            </w:r>
            <w:r w:rsidR="00171E82" w:rsidRPr="00A119C4">
              <w:rPr>
                <w:rFonts w:eastAsia="SimSun" w:cs="Arial"/>
                <w:b/>
                <w:szCs w:val="20"/>
                <w:lang w:eastAsia="zh-CN"/>
              </w:rPr>
              <w:t>ept 2021</w:t>
            </w:r>
          </w:p>
          <w:p w14:paraId="12C1536B" w14:textId="6CBDA16A" w:rsidR="00171E82" w:rsidRPr="00A119C4" w:rsidRDefault="000812C0" w:rsidP="002C4526">
            <w:pPr>
              <w:pStyle w:val="Paragraphedeliste"/>
              <w:numPr>
                <w:ilvl w:val="0"/>
                <w:numId w:val="4"/>
              </w:numPr>
              <w:suppressAutoHyphens/>
              <w:rPr>
                <w:rFonts w:eastAsia="SimSun" w:cs="Arial"/>
                <w:b/>
                <w:szCs w:val="20"/>
                <w:lang w:eastAsia="zh-CN"/>
              </w:rPr>
            </w:pPr>
            <w:r w:rsidRPr="00A119C4">
              <w:rPr>
                <w:rFonts w:eastAsia="SimSun" w:cs="Arial"/>
                <w:b/>
                <w:szCs w:val="20"/>
                <w:lang w:eastAsia="zh-CN"/>
              </w:rPr>
              <w:t xml:space="preserve">6 </w:t>
            </w:r>
            <w:r w:rsidR="002C4526" w:rsidRPr="00A119C4">
              <w:rPr>
                <w:rFonts w:eastAsia="SimSun" w:cs="Arial"/>
                <w:b/>
                <w:szCs w:val="20"/>
                <w:lang w:eastAsia="zh-CN"/>
              </w:rPr>
              <w:t>D</w:t>
            </w:r>
            <w:r w:rsidR="00171E82" w:rsidRPr="00A119C4">
              <w:rPr>
                <w:rFonts w:eastAsia="SimSun" w:cs="Arial"/>
                <w:b/>
                <w:szCs w:val="20"/>
                <w:lang w:eastAsia="zh-CN"/>
              </w:rPr>
              <w:t xml:space="preserve">éc 2021 </w:t>
            </w:r>
          </w:p>
          <w:p w14:paraId="5A62118F" w14:textId="7542AFE3" w:rsidR="00171E82" w:rsidRPr="00A119C4" w:rsidRDefault="000812C0" w:rsidP="002C4526">
            <w:pPr>
              <w:pStyle w:val="Paragraphedeliste"/>
              <w:numPr>
                <w:ilvl w:val="0"/>
                <w:numId w:val="4"/>
              </w:numPr>
              <w:suppressAutoHyphens/>
              <w:rPr>
                <w:rFonts w:eastAsia="SimSun" w:cs="Arial"/>
                <w:b/>
                <w:szCs w:val="20"/>
                <w:lang w:eastAsia="zh-CN"/>
              </w:rPr>
            </w:pPr>
            <w:r w:rsidRPr="00A119C4">
              <w:rPr>
                <w:rFonts w:eastAsia="SimSun" w:cs="Arial"/>
                <w:b/>
                <w:szCs w:val="20"/>
                <w:lang w:eastAsia="zh-CN"/>
              </w:rPr>
              <w:t xml:space="preserve">7 </w:t>
            </w:r>
            <w:r w:rsidR="00171E82" w:rsidRPr="00A119C4">
              <w:rPr>
                <w:rFonts w:eastAsia="SimSun" w:cs="Arial"/>
                <w:b/>
                <w:szCs w:val="20"/>
                <w:lang w:eastAsia="zh-CN"/>
              </w:rPr>
              <w:t xml:space="preserve">Mars 2022 </w:t>
            </w:r>
          </w:p>
          <w:p w14:paraId="07C0A4F6" w14:textId="22DC21D4" w:rsidR="00C64205" w:rsidRPr="00A119C4" w:rsidRDefault="000812C0" w:rsidP="00753FC4">
            <w:pPr>
              <w:pStyle w:val="Paragraphedeliste"/>
              <w:numPr>
                <w:ilvl w:val="0"/>
                <w:numId w:val="4"/>
              </w:numPr>
              <w:suppressAutoHyphens/>
              <w:rPr>
                <w:rFonts w:eastAsia="SimSun" w:cs="Arial"/>
                <w:b/>
                <w:szCs w:val="20"/>
                <w:lang w:eastAsia="zh-CN"/>
              </w:rPr>
            </w:pPr>
            <w:r w:rsidRPr="00A119C4">
              <w:rPr>
                <w:rFonts w:eastAsia="SimSun" w:cs="Arial"/>
                <w:b/>
                <w:szCs w:val="20"/>
                <w:lang w:eastAsia="zh-CN"/>
              </w:rPr>
              <w:t xml:space="preserve">7 </w:t>
            </w:r>
            <w:r w:rsidR="00171E82" w:rsidRPr="00A119C4">
              <w:rPr>
                <w:rFonts w:eastAsia="SimSun" w:cs="Arial"/>
                <w:b/>
                <w:szCs w:val="20"/>
                <w:lang w:eastAsia="zh-CN"/>
              </w:rPr>
              <w:t>Juin  2022</w:t>
            </w:r>
          </w:p>
        </w:tc>
      </w:tr>
    </w:tbl>
    <w:p w14:paraId="3E314EDE" w14:textId="7D21A1CD" w:rsidR="00C64205" w:rsidRDefault="00C64205" w:rsidP="00BB26F4"/>
    <w:p w14:paraId="0E493E85" w14:textId="77777777" w:rsidR="00753FC4" w:rsidRDefault="00753FC4" w:rsidP="00BB26F4"/>
    <w:p w14:paraId="7F974BAD" w14:textId="19AC4536" w:rsidR="00BB26F4" w:rsidRPr="003345E6" w:rsidRDefault="00E72782" w:rsidP="00753FC4">
      <w:pPr>
        <w:pStyle w:val="Titre1"/>
      </w:pPr>
      <w:r w:rsidRPr="003345E6">
        <w:t>X</w:t>
      </w:r>
      <w:r w:rsidR="001322AF" w:rsidRPr="003345E6">
        <w:t>.</w:t>
      </w:r>
      <w:r w:rsidRPr="003345E6">
        <w:t xml:space="preserve"> </w:t>
      </w:r>
      <w:r w:rsidR="00BB26F4" w:rsidRPr="003345E6">
        <w:t>Contacts</w:t>
      </w:r>
    </w:p>
    <w:p w14:paraId="05531A9C" w14:textId="77777777" w:rsidR="00D34B97" w:rsidRPr="003345E6" w:rsidRDefault="00BB26F4" w:rsidP="00BB26F4">
      <w:r w:rsidRPr="003345E6">
        <w:t>Toute demande de renseignement pourra être adressée</w:t>
      </w:r>
      <w:r w:rsidR="0016034D" w:rsidRPr="003345E6">
        <w:t xml:space="preserve"> à</w:t>
      </w:r>
      <w:r w:rsidR="00D34B97" w:rsidRPr="003345E6">
        <w:t> :</w:t>
      </w:r>
    </w:p>
    <w:p w14:paraId="520AE542" w14:textId="22E8E3A4" w:rsidR="00296A0C" w:rsidRPr="003345E6" w:rsidRDefault="00D34B97" w:rsidP="00AD07DC">
      <w:pPr>
        <w:pStyle w:val="Paragraphedeliste"/>
        <w:numPr>
          <w:ilvl w:val="0"/>
          <w:numId w:val="46"/>
        </w:numPr>
      </w:pPr>
      <w:r w:rsidRPr="003345E6">
        <w:t xml:space="preserve">Axelle DEGUEURCE : </w:t>
      </w:r>
      <w:hyperlink r:id="rId21" w:history="1">
        <w:r w:rsidRPr="003345E6">
          <w:rPr>
            <w:rStyle w:val="Lienhypertexte"/>
          </w:rPr>
          <w:t>axelle.degueurce@ademe.fr</w:t>
        </w:r>
      </w:hyperlink>
    </w:p>
    <w:p w14:paraId="6965135E" w14:textId="01719EAB" w:rsidR="00D34B97" w:rsidRPr="003345E6" w:rsidRDefault="00D34B97" w:rsidP="00AD07DC">
      <w:pPr>
        <w:pStyle w:val="Paragraphedeliste"/>
        <w:numPr>
          <w:ilvl w:val="0"/>
          <w:numId w:val="46"/>
        </w:numPr>
      </w:pPr>
      <w:r w:rsidRPr="003345E6">
        <w:t xml:space="preserve">Cécile MALLET : </w:t>
      </w:r>
      <w:hyperlink r:id="rId22" w:history="1">
        <w:r w:rsidRPr="003345E6">
          <w:rPr>
            <w:rStyle w:val="Lienhypertexte"/>
          </w:rPr>
          <w:t>cecile.mallet@ademe.fr</w:t>
        </w:r>
      </w:hyperlink>
      <w:r w:rsidRPr="003345E6">
        <w:t xml:space="preserve"> </w:t>
      </w:r>
    </w:p>
    <w:p w14:paraId="22E84994" w14:textId="2DF350D4" w:rsidR="00753FC4" w:rsidRDefault="00753FC4" w:rsidP="00BB26F4"/>
    <w:p w14:paraId="5326FBAE" w14:textId="0FAA4111" w:rsidR="005B793D" w:rsidRDefault="00ED25A0" w:rsidP="00753FC4">
      <w:pPr>
        <w:pStyle w:val="Titre1"/>
      </w:pPr>
      <w:r>
        <w:t>XI</w:t>
      </w:r>
      <w:r w:rsidR="001322AF">
        <w:t>.</w:t>
      </w:r>
      <w:r w:rsidR="00D1565C">
        <w:t xml:space="preserve"> </w:t>
      </w:r>
      <w:r w:rsidR="005B793D" w:rsidRPr="00ED25A0">
        <w:t>Ressou</w:t>
      </w:r>
      <w:r w:rsidR="001322AF">
        <w:t>rces documentaires disponibles</w:t>
      </w:r>
    </w:p>
    <w:p w14:paraId="4D6AE7F4" w14:textId="77777777" w:rsidR="005B793D" w:rsidRDefault="00AD07DC" w:rsidP="009B39A3">
      <w:pPr>
        <w:pStyle w:val="Paragraphedeliste"/>
        <w:numPr>
          <w:ilvl w:val="0"/>
          <w:numId w:val="8"/>
        </w:numPr>
        <w:suppressAutoHyphens/>
        <w:spacing w:after="120" w:line="100" w:lineRule="atLeast"/>
        <w:rPr>
          <w:rFonts w:eastAsia="SimSun" w:cs="Arial"/>
          <w:lang w:eastAsia="zh-CN"/>
        </w:rPr>
      </w:pPr>
      <w:hyperlink r:id="rId23" w:history="1">
        <w:r w:rsidR="005B793D" w:rsidRPr="005908B8">
          <w:rPr>
            <w:rStyle w:val="Lienhypertexte"/>
            <w:rFonts w:eastAsia="SimSun" w:cs="Arial"/>
            <w:lang w:eastAsia="zh-CN"/>
          </w:rPr>
          <w:t>Guide d’accession à l’agrément sanitaire pour le traitement de sous-produits animaux</w:t>
        </w:r>
      </w:hyperlink>
      <w:r w:rsidR="005B793D">
        <w:rPr>
          <w:rFonts w:eastAsia="SimSun" w:cs="Arial"/>
          <w:lang w:eastAsia="zh-CN"/>
        </w:rPr>
        <w:t xml:space="preserve"> </w:t>
      </w:r>
      <w:hyperlink r:id="rId24" w:history="1">
        <w:r w:rsidR="005B793D" w:rsidRPr="005908B8">
          <w:rPr>
            <w:rStyle w:val="Lienhypertexte"/>
            <w:rFonts w:eastAsia="SimSun" w:cs="Arial"/>
            <w:lang w:eastAsia="zh-CN"/>
          </w:rPr>
          <w:t>Recommandations pour les collectivités : comment réussir la mise en œuvre du tri à la source ?</w:t>
        </w:r>
      </w:hyperlink>
    </w:p>
    <w:p w14:paraId="19516093" w14:textId="77777777" w:rsidR="005B793D" w:rsidRPr="005908B8" w:rsidRDefault="00AD07DC" w:rsidP="009B39A3">
      <w:pPr>
        <w:pStyle w:val="Paragraphedeliste"/>
        <w:numPr>
          <w:ilvl w:val="0"/>
          <w:numId w:val="8"/>
        </w:numPr>
        <w:suppressAutoHyphens/>
        <w:spacing w:after="120" w:line="100" w:lineRule="atLeast"/>
        <w:rPr>
          <w:rFonts w:eastAsia="SimSun" w:cs="Arial"/>
          <w:lang w:eastAsia="zh-CN"/>
        </w:rPr>
      </w:pPr>
      <w:hyperlink r:id="rId25" w:history="1">
        <w:r w:rsidR="005B793D" w:rsidRPr="005908B8">
          <w:rPr>
            <w:rStyle w:val="Lienhypertexte"/>
            <w:rFonts w:eastAsia="SimSun" w:cs="Arial"/>
            <w:lang w:eastAsia="zh-CN"/>
          </w:rPr>
          <w:t>Etude technico-économique de la collecte séparée des biodéchets</w:t>
        </w:r>
      </w:hyperlink>
    </w:p>
    <w:p w14:paraId="63C7D427" w14:textId="5FB66A38" w:rsidR="005B793D" w:rsidRDefault="00AD07DC" w:rsidP="000812C0">
      <w:pPr>
        <w:pStyle w:val="Paragraphedeliste"/>
        <w:numPr>
          <w:ilvl w:val="0"/>
          <w:numId w:val="8"/>
        </w:numPr>
      </w:pPr>
      <w:hyperlink r:id="rId26" w:history="1">
        <w:r w:rsidR="005B793D" w:rsidRPr="005B793D">
          <w:rPr>
            <w:rStyle w:val="Lienhypertexte"/>
          </w:rPr>
          <w:t>Guide technique Alternatives au brûlage des déchets verts</w:t>
        </w:r>
      </w:hyperlink>
      <w:r w:rsidR="005B793D">
        <w:t xml:space="preserve"> </w:t>
      </w:r>
    </w:p>
    <w:p w14:paraId="06B4E294" w14:textId="6FDC611F" w:rsidR="00D1565C" w:rsidRDefault="00D1565C" w:rsidP="00D1565C">
      <w:pPr>
        <w:pStyle w:val="Paragraphedeliste"/>
        <w:numPr>
          <w:ilvl w:val="0"/>
          <w:numId w:val="8"/>
        </w:numPr>
      </w:pPr>
      <w:r w:rsidRPr="00D1565C">
        <w:t>Enquête gestion domestique des déchets organiques</w:t>
      </w:r>
      <w:r>
        <w:t xml:space="preserve"> (2021): </w:t>
      </w:r>
      <w:hyperlink r:id="rId27" w:history="1">
        <w:r w:rsidR="001322AF" w:rsidRPr="00140CA8">
          <w:rPr>
            <w:rStyle w:val="Lienhypertexte"/>
          </w:rPr>
          <w:t>https://www.ademe.fr/enquete-gestion-domestique-dechets-organiques</w:t>
        </w:r>
      </w:hyperlink>
      <w:r w:rsidR="001322AF">
        <w:t xml:space="preserve"> </w:t>
      </w:r>
    </w:p>
    <w:p w14:paraId="232529E3" w14:textId="524EEE50" w:rsidR="00D1565C" w:rsidRDefault="00D1565C" w:rsidP="00D1565C">
      <w:pPr>
        <w:pStyle w:val="Paragraphedeliste"/>
        <w:numPr>
          <w:ilvl w:val="0"/>
          <w:numId w:val="8"/>
        </w:numPr>
      </w:pPr>
      <w:r w:rsidRPr="00D1565C">
        <w:t>Évaluation des démarches de gestion de proximité des biodéchets</w:t>
      </w:r>
      <w:r>
        <w:t xml:space="preserve"> (2020) : </w:t>
      </w:r>
      <w:hyperlink r:id="rId28" w:history="1">
        <w:r w:rsidRPr="00CA4815">
          <w:rPr>
            <w:rStyle w:val="Lienhypertexte"/>
          </w:rPr>
          <w:t>https://www.ademe.fr/evaluation-demarches-gestion-proximite-biodechets-rapports-devaluation-preconisations</w:t>
        </w:r>
      </w:hyperlink>
    </w:p>
    <w:p w14:paraId="6A21D4CC" w14:textId="3BF27EE0" w:rsidR="00D1565C" w:rsidRDefault="00D1565C" w:rsidP="00D1565C">
      <w:pPr>
        <w:pStyle w:val="Paragraphedeliste"/>
        <w:numPr>
          <w:ilvl w:val="0"/>
          <w:numId w:val="8"/>
        </w:numPr>
      </w:pPr>
      <w:r>
        <w:t xml:space="preserve">Guide pratique pour la mise en place de collecte séparée : </w:t>
      </w:r>
      <w:hyperlink r:id="rId29" w:history="1">
        <w:r w:rsidR="001322AF" w:rsidRPr="00140CA8">
          <w:rPr>
            <w:rStyle w:val="Lienhypertexte"/>
          </w:rPr>
          <w:t>http://www.compostplus.org/wp-content/uploads/2018/07/Guide-Compostplus-2018.pdf</w:t>
        </w:r>
      </w:hyperlink>
      <w:r w:rsidR="001322AF">
        <w:t xml:space="preserve"> </w:t>
      </w:r>
    </w:p>
    <w:p w14:paraId="3A1B545B" w14:textId="376AACC6" w:rsidR="00403764" w:rsidRDefault="00403764" w:rsidP="00403764">
      <w:pPr>
        <w:pStyle w:val="Paragraphedeliste"/>
      </w:pPr>
    </w:p>
    <w:p w14:paraId="1272F58F" w14:textId="06EAAAA3" w:rsidR="00AC5BD5" w:rsidRDefault="00AC5BD5" w:rsidP="00403764">
      <w:pPr>
        <w:pStyle w:val="Paragraphedeliste"/>
      </w:pPr>
    </w:p>
    <w:p w14:paraId="73A0EB4E" w14:textId="0C989735" w:rsidR="00AC5BD5" w:rsidRDefault="00AC5BD5" w:rsidP="00403764">
      <w:pPr>
        <w:pStyle w:val="Paragraphedeliste"/>
      </w:pPr>
    </w:p>
    <w:p w14:paraId="54ED74F0" w14:textId="799CE698" w:rsidR="00AC5BD5" w:rsidRDefault="00AC5BD5" w:rsidP="00403764">
      <w:pPr>
        <w:pStyle w:val="Paragraphedeliste"/>
      </w:pPr>
    </w:p>
    <w:p w14:paraId="13475B45" w14:textId="2A529410" w:rsidR="00AC5BD5" w:rsidRDefault="00AC5BD5" w:rsidP="00403764">
      <w:pPr>
        <w:pStyle w:val="Paragraphedeliste"/>
      </w:pPr>
    </w:p>
    <w:p w14:paraId="3D06EEBF" w14:textId="7E980FB6" w:rsidR="00AC5BD5" w:rsidRDefault="00AC5BD5" w:rsidP="00403764">
      <w:pPr>
        <w:pStyle w:val="Paragraphedeliste"/>
      </w:pPr>
    </w:p>
    <w:p w14:paraId="2A9FA88A" w14:textId="14350A3F" w:rsidR="00AC5BD5" w:rsidRDefault="00AC5BD5" w:rsidP="00403764">
      <w:pPr>
        <w:pStyle w:val="Paragraphedeliste"/>
      </w:pPr>
    </w:p>
    <w:p w14:paraId="51D6E190" w14:textId="7414C423" w:rsidR="00AC5BD5" w:rsidRDefault="00AC5BD5" w:rsidP="00403764">
      <w:pPr>
        <w:pStyle w:val="Paragraphedeliste"/>
      </w:pPr>
    </w:p>
    <w:p w14:paraId="5BB56F78" w14:textId="4FB6BE63" w:rsidR="00AC5BD5" w:rsidRDefault="00AC5BD5" w:rsidP="00403764">
      <w:pPr>
        <w:pStyle w:val="Paragraphedeliste"/>
      </w:pPr>
    </w:p>
    <w:p w14:paraId="30B2ACBD" w14:textId="57FFED09" w:rsidR="00AC5BD5" w:rsidRDefault="00AC5BD5" w:rsidP="00403764">
      <w:pPr>
        <w:pStyle w:val="Paragraphedeliste"/>
      </w:pPr>
    </w:p>
    <w:p w14:paraId="103556AD" w14:textId="39F5B49B" w:rsidR="00AC5BD5" w:rsidRDefault="00AC5BD5" w:rsidP="00403764">
      <w:pPr>
        <w:pStyle w:val="Paragraphedeliste"/>
      </w:pPr>
    </w:p>
    <w:p w14:paraId="221E76A7" w14:textId="7BA3DE0D" w:rsidR="00AC5BD5" w:rsidRDefault="00AC5BD5" w:rsidP="00403764">
      <w:pPr>
        <w:pStyle w:val="Paragraphedeliste"/>
      </w:pPr>
    </w:p>
    <w:p w14:paraId="4ECA1F35" w14:textId="75999A13" w:rsidR="00AC5BD5" w:rsidRDefault="00AC5BD5" w:rsidP="00403764">
      <w:pPr>
        <w:pStyle w:val="Paragraphedeliste"/>
      </w:pPr>
    </w:p>
    <w:p w14:paraId="5F58E85F" w14:textId="77777777" w:rsidR="003345E6" w:rsidRDefault="005A3475" w:rsidP="003345E6">
      <w:pPr>
        <w:pStyle w:val="Paragraphedeliste"/>
        <w:pBdr>
          <w:top w:val="single" w:sz="4" w:space="1" w:color="auto"/>
          <w:left w:val="single" w:sz="4" w:space="4" w:color="auto"/>
          <w:bottom w:val="single" w:sz="4" w:space="1" w:color="auto"/>
          <w:right w:val="single" w:sz="4" w:space="4" w:color="auto"/>
        </w:pBdr>
        <w:jc w:val="center"/>
        <w:rPr>
          <w:b/>
        </w:rPr>
      </w:pPr>
      <w:r w:rsidRPr="005A3475">
        <w:rPr>
          <w:b/>
        </w:rPr>
        <w:lastRenderedPageBreak/>
        <w:t xml:space="preserve">Annexe </w:t>
      </w:r>
      <w:r w:rsidR="003345E6">
        <w:rPr>
          <w:b/>
        </w:rPr>
        <w:t>1</w:t>
      </w:r>
    </w:p>
    <w:p w14:paraId="5884FC94" w14:textId="77777777" w:rsidR="003345E6" w:rsidRDefault="003345E6" w:rsidP="003345E6">
      <w:pPr>
        <w:pStyle w:val="Paragraphedeliste"/>
        <w:pBdr>
          <w:top w:val="single" w:sz="4" w:space="1" w:color="auto"/>
          <w:left w:val="single" w:sz="4" w:space="4" w:color="auto"/>
          <w:bottom w:val="single" w:sz="4" w:space="1" w:color="auto"/>
          <w:right w:val="single" w:sz="4" w:space="4" w:color="auto"/>
        </w:pBdr>
        <w:jc w:val="center"/>
        <w:rPr>
          <w:b/>
        </w:rPr>
      </w:pPr>
      <w:r>
        <w:rPr>
          <w:b/>
        </w:rPr>
        <w:t>Conditions d’éligibilité et d’accompagnement pour</w:t>
      </w:r>
    </w:p>
    <w:p w14:paraId="20B8BE93" w14:textId="699F7268" w:rsidR="00AC5BD5" w:rsidRDefault="003345E6" w:rsidP="003345E6">
      <w:pPr>
        <w:pStyle w:val="Paragraphedeliste"/>
        <w:pBdr>
          <w:top w:val="single" w:sz="4" w:space="1" w:color="auto"/>
          <w:left w:val="single" w:sz="4" w:space="4" w:color="auto"/>
          <w:bottom w:val="single" w:sz="4" w:space="1" w:color="auto"/>
          <w:right w:val="single" w:sz="4" w:space="4" w:color="auto"/>
        </w:pBdr>
        <w:jc w:val="center"/>
        <w:rPr>
          <w:b/>
        </w:rPr>
      </w:pPr>
      <w:r>
        <w:rPr>
          <w:b/>
        </w:rPr>
        <w:t>le c</w:t>
      </w:r>
      <w:r w:rsidR="005A3475">
        <w:rPr>
          <w:b/>
        </w:rPr>
        <w:t>ompostage électromécanique</w:t>
      </w:r>
    </w:p>
    <w:p w14:paraId="24F4FF89" w14:textId="33040BFD" w:rsidR="003345E6" w:rsidRPr="003345E6" w:rsidRDefault="003345E6" w:rsidP="003345E6">
      <w:pPr>
        <w:pStyle w:val="Paragraphedeliste"/>
        <w:pBdr>
          <w:top w:val="single" w:sz="4" w:space="1" w:color="auto"/>
          <w:left w:val="single" w:sz="4" w:space="4" w:color="auto"/>
          <w:bottom w:val="single" w:sz="4" w:space="1" w:color="auto"/>
          <w:right w:val="single" w:sz="4" w:space="4" w:color="auto"/>
        </w:pBdr>
        <w:jc w:val="center"/>
        <w:rPr>
          <w:b/>
        </w:rPr>
      </w:pPr>
      <w:r>
        <w:rPr>
          <w:b/>
        </w:rPr>
        <w:t>et les broyeurs à déchets verts</w:t>
      </w:r>
    </w:p>
    <w:p w14:paraId="07CB862B" w14:textId="77777777" w:rsidR="00AC5BD5" w:rsidRDefault="00AC5BD5" w:rsidP="00AC5BD5">
      <w:pPr>
        <w:pStyle w:val="Paragraphedeliste"/>
      </w:pPr>
    </w:p>
    <w:p w14:paraId="3A55A257" w14:textId="77ED4E3A" w:rsidR="00AC5BD5" w:rsidRDefault="00AC5BD5">
      <w:pPr>
        <w:pStyle w:val="Paragraphedeliste"/>
      </w:pPr>
    </w:p>
    <w:p w14:paraId="65DEF2AA" w14:textId="33474E65" w:rsidR="003345E6" w:rsidRPr="003345E6" w:rsidRDefault="003345E6">
      <w:pPr>
        <w:pStyle w:val="Paragraphedeliste"/>
        <w:rPr>
          <w:b/>
        </w:rPr>
      </w:pPr>
      <w:r w:rsidRPr="003345E6">
        <w:rPr>
          <w:b/>
        </w:rPr>
        <w:t>POUR LE COMPOSTAGE ELECTROMECANIQUE</w:t>
      </w:r>
    </w:p>
    <w:p w14:paraId="7D532EB0" w14:textId="77777777" w:rsidR="003345E6" w:rsidRDefault="003345E6">
      <w:pPr>
        <w:pStyle w:val="Paragraphedeliste"/>
      </w:pPr>
    </w:p>
    <w:p w14:paraId="5AC54D40" w14:textId="56D4BCA3" w:rsidR="00AC5BD5" w:rsidRDefault="00AC5BD5" w:rsidP="00AD07DC">
      <w:r>
        <w:t>Les projets éligibles doivent justifier impérativement des conditions suivantes :</w:t>
      </w:r>
    </w:p>
    <w:p w14:paraId="417B96A2" w14:textId="1839B321" w:rsidR="00AD07DC" w:rsidRDefault="00AD07DC" w:rsidP="00AD07DC">
      <w:pPr>
        <w:pStyle w:val="Paragraphedeliste"/>
        <w:numPr>
          <w:ilvl w:val="0"/>
          <w:numId w:val="50"/>
        </w:numPr>
      </w:pPr>
      <w:r>
        <w:t>Le projet doit prévoir la présence d’un espace dédié à la maturation et compostage complet des matières sortantes de l’électro-composteur, en cohérence avec le dimensionnement de l’équipement,</w:t>
      </w:r>
    </w:p>
    <w:p w14:paraId="142D1580" w14:textId="41DE247E" w:rsidR="00AD07DC" w:rsidRDefault="00AD07DC" w:rsidP="00AD07DC">
      <w:pPr>
        <w:pStyle w:val="Paragraphedeliste"/>
        <w:numPr>
          <w:ilvl w:val="0"/>
          <w:numId w:val="50"/>
        </w:numPr>
      </w:pPr>
      <w:r>
        <w:t>L’exploitant devra s’engager à :</w:t>
      </w:r>
    </w:p>
    <w:p w14:paraId="5CE55530" w14:textId="4C67FD65" w:rsidR="00AD07DC" w:rsidRDefault="00AD07DC" w:rsidP="00AD07DC">
      <w:pPr>
        <w:pStyle w:val="Paragraphedeliste"/>
        <w:numPr>
          <w:ilvl w:val="1"/>
          <w:numId w:val="50"/>
        </w:numPr>
      </w:pPr>
      <w:r>
        <w:t>S’assurer que l’implantation de l’équipement est cohérente avec le dispositif de tri à la source existant (non concurrence avec les solutions de collecte ou de gestion de proximité directement accessibles) et est pertinente économiquement,</w:t>
      </w:r>
    </w:p>
    <w:p w14:paraId="4077CE10" w14:textId="77777777" w:rsidR="00AD07DC" w:rsidRDefault="00AD07DC" w:rsidP="00AD07DC">
      <w:pPr>
        <w:pStyle w:val="Paragraphedeliste"/>
        <w:numPr>
          <w:ilvl w:val="1"/>
          <w:numId w:val="50"/>
        </w:numPr>
      </w:pPr>
      <w:r>
        <w:t xml:space="preserve">Si le porteur envisage de traiter des déchets alimentaires des ménages, il devra justifier d’un accord explicite sur ce projet de la collectivité compétente pour le service public de prévention et de gestion des déchets (apports directs des habitants proscrits) </w:t>
      </w:r>
    </w:p>
    <w:p w14:paraId="4C70E23C" w14:textId="77777777" w:rsidR="00AD07DC" w:rsidRDefault="00AD07DC" w:rsidP="00AD07DC">
      <w:pPr>
        <w:pStyle w:val="Paragraphedeliste"/>
        <w:numPr>
          <w:ilvl w:val="1"/>
          <w:numId w:val="50"/>
        </w:numPr>
      </w:pPr>
    </w:p>
    <w:p w14:paraId="04762339" w14:textId="3B692A7C" w:rsidR="00AD07DC" w:rsidRDefault="00AD07DC" w:rsidP="00AD07DC">
      <w:pPr>
        <w:pStyle w:val="Paragraphedeliste"/>
        <w:numPr>
          <w:ilvl w:val="1"/>
          <w:numId w:val="50"/>
        </w:numPr>
      </w:pPr>
      <w:r>
        <w:t>S’assurer que le dimensionnement est cohérent avec les quantités à traiter incluant une estimation de la baisse des quantités produites suite à la mise en place d’actions de lutte contre le gaspillage alimentaire,</w:t>
      </w:r>
    </w:p>
    <w:p w14:paraId="55ECA3F9" w14:textId="144C71B6" w:rsidR="00AD07DC" w:rsidRDefault="00AD07DC" w:rsidP="00AD07DC">
      <w:pPr>
        <w:pStyle w:val="Paragraphedeliste"/>
        <w:numPr>
          <w:ilvl w:val="1"/>
          <w:numId w:val="50"/>
        </w:numPr>
      </w:pPr>
      <w:r>
        <w:t xml:space="preserve">Former son personnel pour qu’il soit en capacité d’assurer la gestion de l’outil de traitement, </w:t>
      </w:r>
    </w:p>
    <w:p w14:paraId="6197516E" w14:textId="589C1443" w:rsidR="00AD07DC" w:rsidRDefault="00AD07DC" w:rsidP="00AD07DC">
      <w:pPr>
        <w:pStyle w:val="Paragraphedeliste"/>
        <w:numPr>
          <w:ilvl w:val="1"/>
          <w:numId w:val="50"/>
        </w:numPr>
      </w:pPr>
      <w:r>
        <w:t>Se faire accompagner par une structure compétente (fournisseur ou autre) pour une durée de 1 an minimum,</w:t>
      </w:r>
    </w:p>
    <w:p w14:paraId="7BCD22DB" w14:textId="01098D12" w:rsidR="00AD07DC" w:rsidRDefault="00AD07DC" w:rsidP="00AD07DC">
      <w:pPr>
        <w:pStyle w:val="Paragraphedeliste"/>
        <w:numPr>
          <w:ilvl w:val="1"/>
          <w:numId w:val="50"/>
        </w:numPr>
      </w:pPr>
      <w:r>
        <w:t>Réaliser au minimum une analyse NFU 44-051 et une analyse XPU 44-162 ISMO (Indice de Stabilité de la Matière Organique)</w:t>
      </w:r>
    </w:p>
    <w:p w14:paraId="1F0B1786" w14:textId="623A1B46" w:rsidR="00AC5BD5" w:rsidRDefault="00D84D3B" w:rsidP="00D84D3B">
      <w:r>
        <w:t xml:space="preserve">Pour précision, </w:t>
      </w:r>
      <w:r w:rsidR="00AC5BD5">
        <w:t>Le niveau d’aide maximum pour les électro</w:t>
      </w:r>
      <w:r w:rsidR="00AD07DC">
        <w:t>-</w:t>
      </w:r>
      <w:r w:rsidR="00AC5BD5">
        <w:t>composteurs est de 45% des dépenses éligibles.</w:t>
      </w:r>
    </w:p>
    <w:p w14:paraId="6F63D003" w14:textId="7121D790" w:rsidR="003345E6" w:rsidRDefault="003345E6" w:rsidP="003345E6">
      <w:pPr>
        <w:ind w:firstLine="708"/>
      </w:pPr>
    </w:p>
    <w:p w14:paraId="68F6756A" w14:textId="31478256" w:rsidR="004332B1" w:rsidRPr="003345E6" w:rsidRDefault="004332B1" w:rsidP="004332B1">
      <w:pPr>
        <w:pStyle w:val="Paragraphedeliste"/>
        <w:rPr>
          <w:b/>
        </w:rPr>
      </w:pPr>
      <w:r>
        <w:rPr>
          <w:b/>
        </w:rPr>
        <w:t>POUR LES BROYEURS A DECHETS VERTS</w:t>
      </w:r>
    </w:p>
    <w:p w14:paraId="3A5794EA" w14:textId="42F3E43F" w:rsidR="003345E6" w:rsidRDefault="003345E6" w:rsidP="007F71B9"/>
    <w:tbl>
      <w:tblPr>
        <w:tblStyle w:val="Grilledutableau"/>
        <w:tblW w:w="0" w:type="auto"/>
        <w:jc w:val="center"/>
        <w:tblLook w:val="04A0" w:firstRow="1" w:lastRow="0" w:firstColumn="1" w:lastColumn="0" w:noHBand="0" w:noVBand="1"/>
      </w:tblPr>
      <w:tblGrid>
        <w:gridCol w:w="5527"/>
        <w:gridCol w:w="4102"/>
      </w:tblGrid>
      <w:tr w:rsidR="007F71B9" w14:paraId="56F9C28F" w14:textId="77777777" w:rsidTr="007F71B9">
        <w:trPr>
          <w:trHeight w:val="559"/>
          <w:jc w:val="center"/>
        </w:trPr>
        <w:tc>
          <w:tcPr>
            <w:tcW w:w="5949" w:type="dxa"/>
          </w:tcPr>
          <w:p w14:paraId="764A5E72" w14:textId="17D1D91E" w:rsidR="007F71B9" w:rsidRPr="005100F8" w:rsidRDefault="007F71B9" w:rsidP="007F71B9">
            <w:pPr>
              <w:jc w:val="center"/>
              <w:rPr>
                <w:rFonts w:cs="Arial"/>
                <w:b/>
                <w:szCs w:val="20"/>
              </w:rPr>
            </w:pPr>
            <w:r>
              <w:rPr>
                <w:rFonts w:cs="Arial"/>
                <w:b/>
                <w:szCs w:val="20"/>
              </w:rPr>
              <w:t>Opérations é</w:t>
            </w:r>
            <w:r w:rsidRPr="005100F8">
              <w:rPr>
                <w:rFonts w:cs="Arial"/>
                <w:b/>
                <w:szCs w:val="20"/>
              </w:rPr>
              <w:t>ligib</w:t>
            </w:r>
            <w:r>
              <w:rPr>
                <w:rFonts w:cs="Arial"/>
                <w:b/>
                <w:szCs w:val="20"/>
              </w:rPr>
              <w:t>les</w:t>
            </w:r>
          </w:p>
        </w:tc>
        <w:tc>
          <w:tcPr>
            <w:tcW w:w="4394" w:type="dxa"/>
          </w:tcPr>
          <w:p w14:paraId="1E16424A" w14:textId="30253D00" w:rsidR="007F71B9" w:rsidRPr="005100F8" w:rsidRDefault="007F71B9" w:rsidP="007F71B9">
            <w:pPr>
              <w:jc w:val="center"/>
              <w:rPr>
                <w:rFonts w:cs="Arial"/>
                <w:b/>
                <w:szCs w:val="20"/>
              </w:rPr>
            </w:pPr>
            <w:r>
              <w:rPr>
                <w:rFonts w:cs="Arial"/>
                <w:b/>
                <w:szCs w:val="20"/>
              </w:rPr>
              <w:t>Opérations n</w:t>
            </w:r>
            <w:r w:rsidRPr="005100F8">
              <w:rPr>
                <w:rFonts w:cs="Arial"/>
                <w:b/>
                <w:szCs w:val="20"/>
              </w:rPr>
              <w:t>on éligible</w:t>
            </w:r>
            <w:r>
              <w:rPr>
                <w:rFonts w:cs="Arial"/>
                <w:b/>
                <w:szCs w:val="20"/>
              </w:rPr>
              <w:t>s</w:t>
            </w:r>
          </w:p>
        </w:tc>
      </w:tr>
      <w:tr w:rsidR="007F71B9" w14:paraId="639C0886" w14:textId="77777777" w:rsidTr="00AD07DC">
        <w:trPr>
          <w:trHeight w:val="2254"/>
          <w:jc w:val="center"/>
        </w:trPr>
        <w:tc>
          <w:tcPr>
            <w:tcW w:w="5949" w:type="dxa"/>
          </w:tcPr>
          <w:p w14:paraId="46A9D233" w14:textId="77777777" w:rsidR="007F71B9" w:rsidRDefault="007F71B9" w:rsidP="00AD07DC">
            <w:pPr>
              <w:pStyle w:val="Commentaire"/>
              <w:rPr>
                <w:rFonts w:cs="Arial"/>
              </w:rPr>
            </w:pPr>
            <w:r w:rsidRPr="001121FB">
              <w:rPr>
                <w:rFonts w:cs="Arial"/>
              </w:rPr>
              <w:t>Mise à disposition de broyeurs par la collectivité auprès des usagers (sous condition d’un usage partagé</w:t>
            </w:r>
            <w:r>
              <w:rPr>
                <w:rFonts w:cs="Arial"/>
              </w:rPr>
              <w:t xml:space="preserve"> via des prêts ou de sessions de broyage</w:t>
            </w:r>
            <w:r w:rsidRPr="001121FB">
              <w:rPr>
                <w:rFonts w:cs="Arial"/>
              </w:rPr>
              <w:t>) :</w:t>
            </w:r>
            <w:r>
              <w:rPr>
                <w:rFonts w:cs="Arial"/>
              </w:rPr>
              <w:t xml:space="preserve">    </w:t>
            </w:r>
          </w:p>
          <w:p w14:paraId="7BF1B7BB" w14:textId="77777777" w:rsidR="007F71B9" w:rsidRPr="00FF69C1" w:rsidRDefault="007F71B9" w:rsidP="007F71B9">
            <w:pPr>
              <w:pStyle w:val="Commentaire"/>
              <w:numPr>
                <w:ilvl w:val="0"/>
                <w:numId w:val="49"/>
              </w:numPr>
              <w:suppressAutoHyphens/>
              <w:spacing w:before="0"/>
              <w:ind w:left="457"/>
              <w:rPr>
                <w:rFonts w:cs="Arial"/>
              </w:rPr>
            </w:pPr>
            <w:r w:rsidRPr="00FF69C1">
              <w:rPr>
                <w:rFonts w:cs="Arial"/>
              </w:rPr>
              <w:t>Achat d’un broyeur mobile de taille moyenne pour faire des sessions de broyage dans les quartiers, pour les Services techniques et / ou prêt / location au particulier</w:t>
            </w:r>
          </w:p>
          <w:p w14:paraId="03226C89" w14:textId="720570F5" w:rsidR="007F71B9" w:rsidRDefault="007F71B9" w:rsidP="007F71B9">
            <w:pPr>
              <w:pStyle w:val="Commentaire"/>
              <w:numPr>
                <w:ilvl w:val="0"/>
                <w:numId w:val="49"/>
              </w:numPr>
              <w:suppressAutoHyphens/>
              <w:spacing w:before="0"/>
              <w:ind w:left="457"/>
              <w:rPr>
                <w:rFonts w:cs="Arial"/>
              </w:rPr>
            </w:pPr>
            <w:r>
              <w:rPr>
                <w:rFonts w:cs="Arial"/>
              </w:rPr>
              <w:t xml:space="preserve">La collectivité peut également se procurer le broyeur par de la location </w:t>
            </w:r>
          </w:p>
        </w:tc>
        <w:tc>
          <w:tcPr>
            <w:tcW w:w="4394" w:type="dxa"/>
          </w:tcPr>
          <w:p w14:paraId="5AAA70F3" w14:textId="5E94BF78" w:rsidR="007F71B9" w:rsidRDefault="007F71B9" w:rsidP="00AD07DC">
            <w:pPr>
              <w:rPr>
                <w:rFonts w:cs="Arial"/>
                <w:szCs w:val="20"/>
              </w:rPr>
            </w:pPr>
            <w:r w:rsidRPr="001121FB">
              <w:rPr>
                <w:rFonts w:cs="Arial"/>
                <w:szCs w:val="20"/>
              </w:rPr>
              <w:t xml:space="preserve">Mise à disposition de broyeur </w:t>
            </w:r>
            <w:r w:rsidR="00AD07DC">
              <w:rPr>
                <w:rFonts w:cs="Arial"/>
                <w:szCs w:val="20"/>
              </w:rPr>
              <w:t xml:space="preserve">de petite taille </w:t>
            </w:r>
            <w:r w:rsidRPr="001121FB">
              <w:rPr>
                <w:rFonts w:cs="Arial"/>
                <w:szCs w:val="20"/>
              </w:rPr>
              <w:t>pour un usage individuel d’un particulier ou d’une commune</w:t>
            </w:r>
            <w:r>
              <w:rPr>
                <w:rFonts w:cs="Arial"/>
                <w:szCs w:val="20"/>
              </w:rPr>
              <w:t>.</w:t>
            </w:r>
          </w:p>
          <w:p w14:paraId="57BC086C" w14:textId="77777777" w:rsidR="007F71B9" w:rsidRPr="001121FB" w:rsidRDefault="007F71B9" w:rsidP="00AD07DC">
            <w:pPr>
              <w:pStyle w:val="Commentaire"/>
              <w:rPr>
                <w:rFonts w:cs="Arial"/>
              </w:rPr>
            </w:pPr>
            <w:r w:rsidRPr="001121FB">
              <w:rPr>
                <w:rFonts w:cs="Arial"/>
              </w:rPr>
              <w:t>Aide individuelle auprès d’un particulier</w:t>
            </w:r>
            <w:r>
              <w:rPr>
                <w:rFonts w:cs="Arial"/>
              </w:rPr>
              <w:t xml:space="preserve"> ou d’un profe</w:t>
            </w:r>
            <w:bookmarkStart w:id="0" w:name="_GoBack"/>
            <w:bookmarkEnd w:id="0"/>
            <w:r>
              <w:rPr>
                <w:rFonts w:cs="Arial"/>
              </w:rPr>
              <w:t>ssionnel pour un usage commercial.</w:t>
            </w:r>
          </w:p>
        </w:tc>
      </w:tr>
    </w:tbl>
    <w:p w14:paraId="0208EDF3" w14:textId="0E993AC2" w:rsidR="003345E6" w:rsidRDefault="003345E6" w:rsidP="00AD07DC"/>
    <w:p w14:paraId="33CC26A2" w14:textId="7CA3D40E" w:rsidR="00AD07DC" w:rsidRDefault="00AD07DC" w:rsidP="00AD07DC">
      <w:pPr>
        <w:rPr>
          <w:rFonts w:cs="Arial"/>
          <w:szCs w:val="20"/>
        </w:rPr>
      </w:pPr>
      <w:r>
        <w:rPr>
          <w:rFonts w:cs="Arial"/>
          <w:szCs w:val="20"/>
        </w:rPr>
        <w:t>Dans tous les cas, pour les opération</w:t>
      </w:r>
      <w:r w:rsidR="00E97C46">
        <w:rPr>
          <w:rFonts w:cs="Arial"/>
          <w:szCs w:val="20"/>
        </w:rPr>
        <w:t>s</w:t>
      </w:r>
      <w:r>
        <w:rPr>
          <w:rFonts w:cs="Arial"/>
          <w:szCs w:val="20"/>
        </w:rPr>
        <w:t xml:space="preserve"> éligibles portant sur les broyeurs, le porteur de projet s’engage, en l’inscrivant dans son dossier de demande de subvention, à viser de broyer </w:t>
      </w:r>
      <w:r w:rsidR="00E97C46">
        <w:rPr>
          <w:rFonts w:cs="Arial"/>
          <w:szCs w:val="20"/>
        </w:rPr>
        <w:t xml:space="preserve">au moins </w:t>
      </w:r>
      <w:r>
        <w:rPr>
          <w:rFonts w:cs="Arial"/>
          <w:szCs w:val="20"/>
        </w:rPr>
        <w:t>100 t/an</w:t>
      </w:r>
      <w:r w:rsidR="00E97C46">
        <w:rPr>
          <w:rFonts w:cs="Arial"/>
          <w:szCs w:val="20"/>
        </w:rPr>
        <w:t>/unité de broyage</w:t>
      </w:r>
      <w:r>
        <w:rPr>
          <w:rFonts w:cs="Arial"/>
          <w:szCs w:val="20"/>
        </w:rPr>
        <w:t xml:space="preserve"> (soit environ 100 sorties /an sur la base d’1t/sortie).</w:t>
      </w:r>
    </w:p>
    <w:p w14:paraId="276FCA9E" w14:textId="77777777" w:rsidR="00AD07DC" w:rsidRDefault="00AD07DC" w:rsidP="00AD07DC"/>
    <w:sectPr w:rsidR="00AD07DC" w:rsidSect="00746944">
      <w:footerReference w:type="default" r:id="rId30"/>
      <w:type w:val="continuous"/>
      <w:pgSz w:w="11906" w:h="16838"/>
      <w:pgMar w:top="1418" w:right="1133" w:bottom="1134" w:left="1134" w:header="340" w:footer="340" w:gutter="0"/>
      <w:pgBorders w:offsetFrom="page">
        <w:top w:val="dashed" w:sz="4" w:space="24" w:color="auto"/>
        <w:bottom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8EF22" w14:textId="77777777" w:rsidR="00AD07DC" w:rsidRDefault="00AD07DC" w:rsidP="00F315FD">
      <w:r>
        <w:separator/>
      </w:r>
    </w:p>
  </w:endnote>
  <w:endnote w:type="continuationSeparator" w:id="0">
    <w:p w14:paraId="01C784C1" w14:textId="77777777" w:rsidR="00AD07DC" w:rsidRDefault="00AD07DC" w:rsidP="00F315FD">
      <w:r>
        <w:continuationSeparator/>
      </w:r>
    </w:p>
  </w:endnote>
  <w:endnote w:type="continuationNotice" w:id="1">
    <w:p w14:paraId="51FD1BCD" w14:textId="77777777" w:rsidR="00AD07DC" w:rsidRDefault="00AD0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altName w:val="Corbel"/>
    <w:charset w:val="00"/>
    <w:family w:val="swiss"/>
    <w:pitch w:val="variable"/>
    <w:sig w:usb0="20000007" w:usb1="00000001" w:usb2="00000000" w:usb3="00000000" w:csb0="00000193"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6AB9" w14:textId="2ECEA814" w:rsidR="00AD07DC" w:rsidRPr="00B4028F" w:rsidRDefault="00AD07DC" w:rsidP="00B4028F">
    <w:pPr>
      <w:pStyle w:val="En-tte"/>
      <w:rPr>
        <w:rFonts w:ascii="Source Sans Pro" w:hAnsi="Source Sans Pro"/>
      </w:rPr>
    </w:pPr>
    <w:r>
      <w:rPr>
        <w:rFonts w:ascii="Source Sans Pro" w:hAnsi="Source Sans Pro"/>
        <w:sz w:val="18"/>
        <w:szCs w:val="18"/>
      </w:rPr>
      <w:t>Cahier des charges appel à projets – Généraliser le tri à la source des biodéchets</w:t>
    </w:r>
    <w:r>
      <w:rPr>
        <w:rFonts w:ascii="Source Sans Pro" w:hAnsi="Source Sans Pro"/>
        <w:sz w:val="18"/>
        <w:szCs w:val="18"/>
      </w:rPr>
      <w:tab/>
      <w:t xml:space="preserve">   </w:t>
    </w:r>
    <w:r w:rsidRPr="00B4028F">
      <w:rPr>
        <w:rFonts w:ascii="Source Sans Pro" w:hAnsi="Source Sans Pro" w:cs="SourceSansPro-Regular"/>
        <w:sz w:val="17"/>
        <w:szCs w:val="17"/>
      </w:rPr>
      <w:t xml:space="preserve">|    </w:t>
    </w:r>
    <w:r w:rsidRPr="00EC59B6">
      <w:rPr>
        <w:rFonts w:ascii="Source Sans Pro" w:hAnsi="Source Sans Pro" w:cs="SourceSansPro-Bold"/>
        <w:b/>
        <w:bCs/>
        <w:smallCaps/>
        <w:spacing w:val="8"/>
        <w:szCs w:val="20"/>
      </w:rPr>
      <w:t xml:space="preserve">page </w:t>
    </w:r>
    <w:r w:rsidRPr="00EC59B6">
      <w:rPr>
        <w:rStyle w:val="Numrodepage"/>
        <w:rFonts w:ascii="Source Sans Pro" w:hAnsi="Source Sans Pro"/>
        <w:b/>
        <w:smallCaps/>
        <w:szCs w:val="20"/>
      </w:rPr>
      <w:fldChar w:fldCharType="begin"/>
    </w:r>
    <w:r w:rsidRPr="00EC59B6">
      <w:rPr>
        <w:rStyle w:val="Numrodepage"/>
        <w:rFonts w:ascii="Source Sans Pro" w:hAnsi="Source Sans Pro"/>
        <w:b/>
        <w:smallCaps/>
        <w:szCs w:val="20"/>
      </w:rPr>
      <w:instrText xml:space="preserve">PAGE  </w:instrText>
    </w:r>
    <w:r w:rsidRPr="00EC59B6">
      <w:rPr>
        <w:rStyle w:val="Numrodepage"/>
        <w:rFonts w:ascii="Source Sans Pro" w:hAnsi="Source Sans Pro"/>
        <w:b/>
        <w:smallCaps/>
        <w:szCs w:val="20"/>
      </w:rPr>
      <w:fldChar w:fldCharType="separate"/>
    </w:r>
    <w:r w:rsidR="00E97C46">
      <w:rPr>
        <w:rStyle w:val="Numrodepage"/>
        <w:rFonts w:ascii="Source Sans Pro" w:hAnsi="Source Sans Pro"/>
        <w:b/>
        <w:smallCaps/>
        <w:noProof/>
        <w:szCs w:val="20"/>
      </w:rPr>
      <w:t>14</w:t>
    </w:r>
    <w:r w:rsidRPr="00EC59B6">
      <w:rPr>
        <w:rStyle w:val="Numrodepage"/>
        <w:rFonts w:ascii="Source Sans Pro" w:hAnsi="Source Sans Pro"/>
        <w:b/>
        <w:smallCaps/>
        <w:szCs w:val="20"/>
      </w:rPr>
      <w:fldChar w:fldCharType="end"/>
    </w:r>
    <w:r w:rsidRPr="00EC59B6">
      <w:rPr>
        <w:rStyle w:val="Numrodepage"/>
        <w:rFonts w:ascii="Source Sans Pro" w:hAnsi="Source Sans Pro"/>
        <w:b/>
        <w:smallCaps/>
        <w:szCs w:val="20"/>
      </w:rPr>
      <w:t xml:space="preserve"> /</w:t>
    </w:r>
    <w:r w:rsidRPr="00EC59B6">
      <w:rPr>
        <w:rStyle w:val="Numrodepage"/>
        <w:rFonts w:ascii="Source Sans Pro" w:hAnsi="Source Sans Pro"/>
        <w:b/>
        <w:smallCaps/>
        <w:szCs w:val="20"/>
      </w:rPr>
      <w:fldChar w:fldCharType="begin"/>
    </w:r>
    <w:r w:rsidRPr="00EC59B6">
      <w:rPr>
        <w:rStyle w:val="Numrodepage"/>
        <w:rFonts w:ascii="Source Sans Pro" w:hAnsi="Source Sans Pro"/>
        <w:b/>
        <w:smallCaps/>
        <w:szCs w:val="20"/>
      </w:rPr>
      <w:instrText xml:space="preserve"> SECTIONPAGES   \* MERGEFORMAT </w:instrText>
    </w:r>
    <w:r w:rsidRPr="00EC59B6">
      <w:rPr>
        <w:rStyle w:val="Numrodepage"/>
        <w:rFonts w:ascii="Source Sans Pro" w:hAnsi="Source Sans Pro"/>
        <w:b/>
        <w:smallCaps/>
        <w:szCs w:val="20"/>
      </w:rPr>
      <w:fldChar w:fldCharType="separate"/>
    </w:r>
    <w:r w:rsidR="00E97C46">
      <w:rPr>
        <w:rStyle w:val="Numrodepage"/>
        <w:rFonts w:ascii="Source Sans Pro" w:hAnsi="Source Sans Pro"/>
        <w:b/>
        <w:smallCaps/>
        <w:noProof/>
        <w:szCs w:val="20"/>
      </w:rPr>
      <w:t>15</w:t>
    </w:r>
    <w:r w:rsidRPr="00EC59B6">
      <w:rPr>
        <w:rStyle w:val="Numrodepage"/>
        <w:rFonts w:ascii="Source Sans Pro" w:hAnsi="Source Sans Pro"/>
        <w:b/>
        <w:smallCaps/>
        <w:szCs w:val="20"/>
      </w:rPr>
      <w:fldChar w:fldCharType="end"/>
    </w:r>
    <w:r w:rsidRPr="00B4028F">
      <w:rPr>
        <w:rStyle w:val="Numrodepage"/>
        <w:rFonts w:ascii="Source Sans Pro" w:hAnsi="Source Sans Pro"/>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41AC" w14:textId="77777777" w:rsidR="00AD07DC" w:rsidRDefault="00AD07DC" w:rsidP="00F315FD">
      <w:r>
        <w:separator/>
      </w:r>
    </w:p>
  </w:footnote>
  <w:footnote w:type="continuationSeparator" w:id="0">
    <w:p w14:paraId="4973390D" w14:textId="77777777" w:rsidR="00AD07DC" w:rsidRDefault="00AD07DC" w:rsidP="00F315FD">
      <w:r>
        <w:continuationSeparator/>
      </w:r>
    </w:p>
  </w:footnote>
  <w:footnote w:type="continuationNotice" w:id="1">
    <w:p w14:paraId="6437CFEA" w14:textId="77777777" w:rsidR="00AD07DC" w:rsidRDefault="00AD07DC"/>
  </w:footnote>
  <w:footnote w:id="2">
    <w:p w14:paraId="617B4F86" w14:textId="4563C56F" w:rsidR="00AD07DC" w:rsidRPr="00A057B8" w:rsidRDefault="00AD07DC">
      <w:pPr>
        <w:pStyle w:val="Notedebasdepage"/>
        <w:rPr>
          <w:i/>
        </w:rPr>
      </w:pPr>
      <w:r w:rsidRPr="00A057B8">
        <w:rPr>
          <w:rStyle w:val="Appelnotedebasdep"/>
          <w:i/>
          <w:sz w:val="18"/>
        </w:rPr>
        <w:footnoteRef/>
      </w:r>
      <w:r w:rsidRPr="00A057B8">
        <w:rPr>
          <w:i/>
          <w:sz w:val="18"/>
        </w:rPr>
        <w:t xml:space="preserve"> Les investissements pour des plateformes de compostage à maitrise d’ouvrage privée sont éligible au titre du dispositif « biodéchets des acteurs économiques » disponible sur la page AGIR suivante : https://agirpourlatransition.ademe.fr/entreprises/dispositif-aide/investissements-gestion-biodechets-acteurs-economiques </w:t>
      </w:r>
    </w:p>
  </w:footnote>
  <w:footnote w:id="3">
    <w:p w14:paraId="628EF3E0" w14:textId="35AF9983" w:rsidR="00AD07DC" w:rsidRDefault="00AD07DC">
      <w:pPr>
        <w:pStyle w:val="Notedebasdepage"/>
      </w:pPr>
      <w:r>
        <w:rPr>
          <w:rStyle w:val="Appelnotedebasdep"/>
        </w:rPr>
        <w:footnoteRef/>
      </w:r>
      <w:r>
        <w:t xml:space="preserve"> Conformément au guide de l’ADEME </w:t>
      </w:r>
      <w:r w:rsidRPr="00E57EC6">
        <w:t>https://www.sinoe.org/contrib/ademe/carademe/index.php</w:t>
      </w:r>
    </w:p>
  </w:footnote>
  <w:footnote w:id="4">
    <w:p w14:paraId="4823484A" w14:textId="54F79088" w:rsidR="00AD07DC" w:rsidRDefault="00AD07DC">
      <w:pPr>
        <w:pStyle w:val="Notedebasdepage"/>
      </w:pPr>
      <w:r>
        <w:rPr>
          <w:rStyle w:val="Appelnotedebasdep"/>
        </w:rPr>
        <w:footnoteRef/>
      </w:r>
      <w:r>
        <w:t xml:space="preserve"> </w:t>
      </w:r>
      <w:r w:rsidRPr="00A057B8">
        <w:rPr>
          <w:i/>
          <w:sz w:val="18"/>
        </w:rPr>
        <w:t>Les investissements pour des plateformes de compostage à maitrise d’ouvrage privée sont éligible au titre du dispositif « biodéchets des acteurs économiques » disponible sur la page AGIR suivante : https://agirpourlatransition.ademe.fr/entreprises/dispositif-aide/investissements-gestion-biodechets-acteurs-economiques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2"/>
      <w:numFmt w:val="bullet"/>
      <w:lvlText w:val="•"/>
      <w:lvlJc w:val="left"/>
      <w:pPr>
        <w:tabs>
          <w:tab w:val="num" w:pos="0"/>
        </w:tabs>
        <w:ind w:left="720" w:hanging="360"/>
      </w:pPr>
      <w:rPr>
        <w:rFonts w:ascii="Arial Narrow" w:hAnsi="Arial Narrow" w:cs="Times New Roman"/>
      </w:rPr>
    </w:lvl>
  </w:abstractNum>
  <w:abstractNum w:abstractNumId="1" w15:restartNumberingAfterBreak="0">
    <w:nsid w:val="032B43D6"/>
    <w:multiLevelType w:val="hybridMultilevel"/>
    <w:tmpl w:val="78E8D3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5164427"/>
    <w:multiLevelType w:val="hybridMultilevel"/>
    <w:tmpl w:val="C8BC5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E23C5"/>
    <w:multiLevelType w:val="hybridMultilevel"/>
    <w:tmpl w:val="EDFEEF3A"/>
    <w:lvl w:ilvl="0" w:tplc="BBC645E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0ACF"/>
    <w:multiLevelType w:val="hybridMultilevel"/>
    <w:tmpl w:val="4D66A9A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2C54070"/>
    <w:multiLevelType w:val="hybridMultilevel"/>
    <w:tmpl w:val="C024B102"/>
    <w:lvl w:ilvl="0" w:tplc="8710F46A">
      <w:numFmt w:val="bullet"/>
      <w:lvlText w:val="."/>
      <w:lvlJc w:val="left"/>
      <w:pPr>
        <w:ind w:left="720" w:hanging="360"/>
      </w:pPr>
      <w:rPr>
        <w:rFonts w:ascii="Trebuchet MS" w:eastAsia="Times New Roman" w:hAnsi="Trebuchet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762C2"/>
    <w:multiLevelType w:val="hybridMultilevel"/>
    <w:tmpl w:val="8F82E9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7E0DDCA">
      <w:start w:val="3"/>
      <w:numFmt w:val="bullet"/>
      <w:lvlText w:val="-"/>
      <w:lvlJc w:val="left"/>
      <w:pPr>
        <w:ind w:left="2880" w:hanging="360"/>
      </w:pPr>
      <w:rPr>
        <w:rFonts w:ascii="Arial" w:eastAsiaTheme="minorHAnsi" w:hAnsi="Arial" w:cs="Aria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644F90"/>
    <w:multiLevelType w:val="hybridMultilevel"/>
    <w:tmpl w:val="A81845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74074"/>
    <w:multiLevelType w:val="hybridMultilevel"/>
    <w:tmpl w:val="DAA461F0"/>
    <w:lvl w:ilvl="0" w:tplc="8710F46A">
      <w:numFmt w:val="bullet"/>
      <w:lvlText w:val="."/>
      <w:lvlJc w:val="left"/>
      <w:pPr>
        <w:ind w:left="360" w:hanging="360"/>
      </w:pPr>
      <w:rPr>
        <w:rFonts w:ascii="Trebuchet MS" w:eastAsia="Times New Roman" w:hAnsi="Trebuchet MS" w:cs="Arial Unicode M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FEC67F8"/>
    <w:multiLevelType w:val="hybridMultilevel"/>
    <w:tmpl w:val="55343306"/>
    <w:lvl w:ilvl="0" w:tplc="893E96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21F31D5"/>
    <w:multiLevelType w:val="hybridMultilevel"/>
    <w:tmpl w:val="E7D6B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17657"/>
    <w:multiLevelType w:val="hybridMultilevel"/>
    <w:tmpl w:val="8E18A320"/>
    <w:lvl w:ilvl="0" w:tplc="8710F46A">
      <w:numFmt w:val="bullet"/>
      <w:lvlText w:val="."/>
      <w:lvlJc w:val="left"/>
      <w:pPr>
        <w:ind w:left="720" w:hanging="360"/>
      </w:pPr>
      <w:rPr>
        <w:rFonts w:ascii="Trebuchet MS" w:eastAsia="Times New Roman" w:hAnsi="Trebuchet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35DE9"/>
    <w:multiLevelType w:val="hybridMultilevel"/>
    <w:tmpl w:val="126E8824"/>
    <w:lvl w:ilvl="0" w:tplc="4D369824">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5237551"/>
    <w:multiLevelType w:val="hybridMultilevel"/>
    <w:tmpl w:val="8B3610B8"/>
    <w:lvl w:ilvl="0" w:tplc="7DE4234C">
      <w:start w:val="2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3C376F"/>
    <w:multiLevelType w:val="hybridMultilevel"/>
    <w:tmpl w:val="0A76941C"/>
    <w:lvl w:ilvl="0" w:tplc="4E0695D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197271"/>
    <w:multiLevelType w:val="hybridMultilevel"/>
    <w:tmpl w:val="A9E65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4053BD"/>
    <w:multiLevelType w:val="hybridMultilevel"/>
    <w:tmpl w:val="9A0AF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816A07"/>
    <w:multiLevelType w:val="hybridMultilevel"/>
    <w:tmpl w:val="1C46310E"/>
    <w:lvl w:ilvl="0" w:tplc="8710F46A">
      <w:numFmt w:val="bullet"/>
      <w:lvlText w:val="."/>
      <w:lvlJc w:val="left"/>
      <w:pPr>
        <w:ind w:left="720" w:hanging="360"/>
      </w:pPr>
      <w:rPr>
        <w:rFonts w:ascii="Trebuchet MS" w:eastAsia="Times New Roman" w:hAnsi="Trebuchet M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3C5390"/>
    <w:multiLevelType w:val="hybridMultilevel"/>
    <w:tmpl w:val="085A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EF2BBC"/>
    <w:multiLevelType w:val="hybridMultilevel"/>
    <w:tmpl w:val="5E763DEE"/>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C876E20"/>
    <w:multiLevelType w:val="hybridMultilevel"/>
    <w:tmpl w:val="FF1A48B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2DC17551"/>
    <w:multiLevelType w:val="hybridMultilevel"/>
    <w:tmpl w:val="F2983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112B48"/>
    <w:multiLevelType w:val="hybridMultilevel"/>
    <w:tmpl w:val="194488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CB255A"/>
    <w:multiLevelType w:val="hybridMultilevel"/>
    <w:tmpl w:val="69C4D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097B5C"/>
    <w:multiLevelType w:val="hybridMultilevel"/>
    <w:tmpl w:val="EB188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78016F"/>
    <w:multiLevelType w:val="hybridMultilevel"/>
    <w:tmpl w:val="A3A446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5049FD"/>
    <w:multiLevelType w:val="hybridMultilevel"/>
    <w:tmpl w:val="78ACC200"/>
    <w:lvl w:ilvl="0" w:tplc="F592754C">
      <w:start w:val="1"/>
      <w:numFmt w:val="bullet"/>
      <w:lvlText w:val="•"/>
      <w:lvlJc w:val="left"/>
      <w:pPr>
        <w:tabs>
          <w:tab w:val="num" w:pos="720"/>
        </w:tabs>
        <w:ind w:left="720" w:hanging="360"/>
      </w:pPr>
      <w:rPr>
        <w:rFonts w:ascii="Arial" w:hAnsi="Arial" w:hint="default"/>
      </w:rPr>
    </w:lvl>
    <w:lvl w:ilvl="1" w:tplc="3E862A20">
      <w:start w:val="1"/>
      <w:numFmt w:val="bullet"/>
      <w:lvlText w:val="•"/>
      <w:lvlJc w:val="left"/>
      <w:pPr>
        <w:tabs>
          <w:tab w:val="num" w:pos="1440"/>
        </w:tabs>
        <w:ind w:left="1440" w:hanging="360"/>
      </w:pPr>
      <w:rPr>
        <w:rFonts w:ascii="Arial" w:hAnsi="Arial" w:hint="default"/>
      </w:rPr>
    </w:lvl>
    <w:lvl w:ilvl="2" w:tplc="74DC83E4" w:tentative="1">
      <w:start w:val="1"/>
      <w:numFmt w:val="bullet"/>
      <w:lvlText w:val="•"/>
      <w:lvlJc w:val="left"/>
      <w:pPr>
        <w:tabs>
          <w:tab w:val="num" w:pos="2160"/>
        </w:tabs>
        <w:ind w:left="2160" w:hanging="360"/>
      </w:pPr>
      <w:rPr>
        <w:rFonts w:ascii="Arial" w:hAnsi="Arial" w:hint="default"/>
      </w:rPr>
    </w:lvl>
    <w:lvl w:ilvl="3" w:tplc="67AA3D16" w:tentative="1">
      <w:start w:val="1"/>
      <w:numFmt w:val="bullet"/>
      <w:lvlText w:val="•"/>
      <w:lvlJc w:val="left"/>
      <w:pPr>
        <w:tabs>
          <w:tab w:val="num" w:pos="2880"/>
        </w:tabs>
        <w:ind w:left="2880" w:hanging="360"/>
      </w:pPr>
      <w:rPr>
        <w:rFonts w:ascii="Arial" w:hAnsi="Arial" w:hint="default"/>
      </w:rPr>
    </w:lvl>
    <w:lvl w:ilvl="4" w:tplc="03ECB6A8" w:tentative="1">
      <w:start w:val="1"/>
      <w:numFmt w:val="bullet"/>
      <w:lvlText w:val="•"/>
      <w:lvlJc w:val="left"/>
      <w:pPr>
        <w:tabs>
          <w:tab w:val="num" w:pos="3600"/>
        </w:tabs>
        <w:ind w:left="3600" w:hanging="360"/>
      </w:pPr>
      <w:rPr>
        <w:rFonts w:ascii="Arial" w:hAnsi="Arial" w:hint="default"/>
      </w:rPr>
    </w:lvl>
    <w:lvl w:ilvl="5" w:tplc="D02826C4" w:tentative="1">
      <w:start w:val="1"/>
      <w:numFmt w:val="bullet"/>
      <w:lvlText w:val="•"/>
      <w:lvlJc w:val="left"/>
      <w:pPr>
        <w:tabs>
          <w:tab w:val="num" w:pos="4320"/>
        </w:tabs>
        <w:ind w:left="4320" w:hanging="360"/>
      </w:pPr>
      <w:rPr>
        <w:rFonts w:ascii="Arial" w:hAnsi="Arial" w:hint="default"/>
      </w:rPr>
    </w:lvl>
    <w:lvl w:ilvl="6" w:tplc="B40CA550" w:tentative="1">
      <w:start w:val="1"/>
      <w:numFmt w:val="bullet"/>
      <w:lvlText w:val="•"/>
      <w:lvlJc w:val="left"/>
      <w:pPr>
        <w:tabs>
          <w:tab w:val="num" w:pos="5040"/>
        </w:tabs>
        <w:ind w:left="5040" w:hanging="360"/>
      </w:pPr>
      <w:rPr>
        <w:rFonts w:ascii="Arial" w:hAnsi="Arial" w:hint="default"/>
      </w:rPr>
    </w:lvl>
    <w:lvl w:ilvl="7" w:tplc="6A26D5C6" w:tentative="1">
      <w:start w:val="1"/>
      <w:numFmt w:val="bullet"/>
      <w:lvlText w:val="•"/>
      <w:lvlJc w:val="left"/>
      <w:pPr>
        <w:tabs>
          <w:tab w:val="num" w:pos="5760"/>
        </w:tabs>
        <w:ind w:left="5760" w:hanging="360"/>
      </w:pPr>
      <w:rPr>
        <w:rFonts w:ascii="Arial" w:hAnsi="Arial" w:hint="default"/>
      </w:rPr>
    </w:lvl>
    <w:lvl w:ilvl="8" w:tplc="AA3A07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847788"/>
    <w:multiLevelType w:val="hybridMultilevel"/>
    <w:tmpl w:val="09D46DB0"/>
    <w:lvl w:ilvl="0" w:tplc="7C266376">
      <w:start w:val="20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307018"/>
    <w:multiLevelType w:val="hybridMultilevel"/>
    <w:tmpl w:val="20F4B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E45090"/>
    <w:multiLevelType w:val="hybridMultilevel"/>
    <w:tmpl w:val="7FDCA4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61114EA"/>
    <w:multiLevelType w:val="hybridMultilevel"/>
    <w:tmpl w:val="4042A598"/>
    <w:lvl w:ilvl="0" w:tplc="1A06B1E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63680F"/>
    <w:multiLevelType w:val="hybridMultilevel"/>
    <w:tmpl w:val="29C82884"/>
    <w:lvl w:ilvl="0" w:tplc="D79E55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C3626A"/>
    <w:multiLevelType w:val="hybridMultilevel"/>
    <w:tmpl w:val="340287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175BA6"/>
    <w:multiLevelType w:val="hybridMultilevel"/>
    <w:tmpl w:val="715E85EC"/>
    <w:lvl w:ilvl="0" w:tplc="8710F46A">
      <w:numFmt w:val="bullet"/>
      <w:lvlText w:val="."/>
      <w:lvlJc w:val="left"/>
      <w:pPr>
        <w:ind w:left="1145" w:hanging="360"/>
      </w:pPr>
      <w:rPr>
        <w:rFonts w:ascii="Trebuchet MS" w:eastAsia="Times New Roman" w:hAnsi="Trebuchet MS" w:cs="Arial Unicode M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4" w15:restartNumberingAfterBreak="0">
    <w:nsid w:val="5A3D18B8"/>
    <w:multiLevelType w:val="hybridMultilevel"/>
    <w:tmpl w:val="1D581090"/>
    <w:lvl w:ilvl="0" w:tplc="040C0003">
      <w:start w:val="1"/>
      <w:numFmt w:val="bullet"/>
      <w:lvlText w:val="o"/>
      <w:lvlJc w:val="left"/>
      <w:pPr>
        <w:ind w:left="1428" w:hanging="360"/>
      </w:pPr>
      <w:rPr>
        <w:rFonts w:ascii="Courier New" w:hAnsi="Courier New" w:cs="Courier New" w:hint="default"/>
      </w:rPr>
    </w:lvl>
    <w:lvl w:ilvl="1" w:tplc="6C3A7556">
      <w:numFmt w:val="bullet"/>
      <w:lvlText w:val="-"/>
      <w:lvlJc w:val="left"/>
      <w:pPr>
        <w:ind w:left="2148" w:hanging="360"/>
      </w:pPr>
      <w:rPr>
        <w:rFonts w:ascii="Calibri" w:eastAsiaTheme="minorHAnsi" w:hAnsi="Calibri"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15:restartNumberingAfterBreak="0">
    <w:nsid w:val="5C4D4A7C"/>
    <w:multiLevelType w:val="hybridMultilevel"/>
    <w:tmpl w:val="BCF0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3D40FA"/>
    <w:multiLevelType w:val="hybridMultilevel"/>
    <w:tmpl w:val="41A27656"/>
    <w:lvl w:ilvl="0" w:tplc="2ECA657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E05D29"/>
    <w:multiLevelType w:val="hybridMultilevel"/>
    <w:tmpl w:val="B5143630"/>
    <w:lvl w:ilvl="0" w:tplc="0B72876C">
      <w:numFmt w:val="bullet"/>
      <w:lvlText w:val="•"/>
      <w:lvlJc w:val="left"/>
      <w:pPr>
        <w:ind w:left="785" w:hanging="360"/>
      </w:pPr>
      <w:rPr>
        <w:rFonts w:ascii="Helvetica" w:eastAsiaTheme="minorHAnsi" w:hAnsi="Helvetica" w:cs="Helvetica"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8" w15:restartNumberingAfterBreak="0">
    <w:nsid w:val="64026F4A"/>
    <w:multiLevelType w:val="hybridMultilevel"/>
    <w:tmpl w:val="9FAE4046"/>
    <w:lvl w:ilvl="0" w:tplc="D79E55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59303CB"/>
    <w:multiLevelType w:val="hybridMultilevel"/>
    <w:tmpl w:val="45AE8F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3E1D06"/>
    <w:multiLevelType w:val="hybridMultilevel"/>
    <w:tmpl w:val="50787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B84805"/>
    <w:multiLevelType w:val="hybridMultilevel"/>
    <w:tmpl w:val="6116F0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6A4814"/>
    <w:multiLevelType w:val="hybridMultilevel"/>
    <w:tmpl w:val="40F44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1A3AD4"/>
    <w:multiLevelType w:val="hybridMultilevel"/>
    <w:tmpl w:val="276CCD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02172F"/>
    <w:multiLevelType w:val="hybridMultilevel"/>
    <w:tmpl w:val="3E64D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AF1BFB"/>
    <w:multiLevelType w:val="hybridMultilevel"/>
    <w:tmpl w:val="33F216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8078C6"/>
    <w:multiLevelType w:val="hybridMultilevel"/>
    <w:tmpl w:val="2D3E28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E07589"/>
    <w:multiLevelType w:val="hybridMultilevel"/>
    <w:tmpl w:val="D24EB9C2"/>
    <w:lvl w:ilvl="0" w:tplc="BD7E027E">
      <w:start w:val="1"/>
      <w:numFmt w:val="bullet"/>
      <w:lvlText w:val="•"/>
      <w:lvlJc w:val="left"/>
      <w:pPr>
        <w:tabs>
          <w:tab w:val="num" w:pos="720"/>
        </w:tabs>
        <w:ind w:left="720" w:hanging="360"/>
      </w:pPr>
      <w:rPr>
        <w:rFonts w:ascii="Arial" w:hAnsi="Arial" w:hint="default"/>
      </w:rPr>
    </w:lvl>
    <w:lvl w:ilvl="1" w:tplc="1676178A">
      <w:start w:val="1"/>
      <w:numFmt w:val="bullet"/>
      <w:lvlText w:val="•"/>
      <w:lvlJc w:val="left"/>
      <w:pPr>
        <w:tabs>
          <w:tab w:val="num" w:pos="1440"/>
        </w:tabs>
        <w:ind w:left="1440" w:hanging="360"/>
      </w:pPr>
      <w:rPr>
        <w:rFonts w:ascii="Arial" w:hAnsi="Arial" w:hint="default"/>
      </w:rPr>
    </w:lvl>
    <w:lvl w:ilvl="2" w:tplc="7C042D7C" w:tentative="1">
      <w:start w:val="1"/>
      <w:numFmt w:val="bullet"/>
      <w:lvlText w:val="•"/>
      <w:lvlJc w:val="left"/>
      <w:pPr>
        <w:tabs>
          <w:tab w:val="num" w:pos="2160"/>
        </w:tabs>
        <w:ind w:left="2160" w:hanging="360"/>
      </w:pPr>
      <w:rPr>
        <w:rFonts w:ascii="Arial" w:hAnsi="Arial" w:hint="default"/>
      </w:rPr>
    </w:lvl>
    <w:lvl w:ilvl="3" w:tplc="47B8E946" w:tentative="1">
      <w:start w:val="1"/>
      <w:numFmt w:val="bullet"/>
      <w:lvlText w:val="•"/>
      <w:lvlJc w:val="left"/>
      <w:pPr>
        <w:tabs>
          <w:tab w:val="num" w:pos="2880"/>
        </w:tabs>
        <w:ind w:left="2880" w:hanging="360"/>
      </w:pPr>
      <w:rPr>
        <w:rFonts w:ascii="Arial" w:hAnsi="Arial" w:hint="default"/>
      </w:rPr>
    </w:lvl>
    <w:lvl w:ilvl="4" w:tplc="E75690B0" w:tentative="1">
      <w:start w:val="1"/>
      <w:numFmt w:val="bullet"/>
      <w:lvlText w:val="•"/>
      <w:lvlJc w:val="left"/>
      <w:pPr>
        <w:tabs>
          <w:tab w:val="num" w:pos="3600"/>
        </w:tabs>
        <w:ind w:left="3600" w:hanging="360"/>
      </w:pPr>
      <w:rPr>
        <w:rFonts w:ascii="Arial" w:hAnsi="Arial" w:hint="default"/>
      </w:rPr>
    </w:lvl>
    <w:lvl w:ilvl="5" w:tplc="4E8CD250" w:tentative="1">
      <w:start w:val="1"/>
      <w:numFmt w:val="bullet"/>
      <w:lvlText w:val="•"/>
      <w:lvlJc w:val="left"/>
      <w:pPr>
        <w:tabs>
          <w:tab w:val="num" w:pos="4320"/>
        </w:tabs>
        <w:ind w:left="4320" w:hanging="360"/>
      </w:pPr>
      <w:rPr>
        <w:rFonts w:ascii="Arial" w:hAnsi="Arial" w:hint="default"/>
      </w:rPr>
    </w:lvl>
    <w:lvl w:ilvl="6" w:tplc="DF3A74CC" w:tentative="1">
      <w:start w:val="1"/>
      <w:numFmt w:val="bullet"/>
      <w:lvlText w:val="•"/>
      <w:lvlJc w:val="left"/>
      <w:pPr>
        <w:tabs>
          <w:tab w:val="num" w:pos="5040"/>
        </w:tabs>
        <w:ind w:left="5040" w:hanging="360"/>
      </w:pPr>
      <w:rPr>
        <w:rFonts w:ascii="Arial" w:hAnsi="Arial" w:hint="default"/>
      </w:rPr>
    </w:lvl>
    <w:lvl w:ilvl="7" w:tplc="167E60BA" w:tentative="1">
      <w:start w:val="1"/>
      <w:numFmt w:val="bullet"/>
      <w:lvlText w:val="•"/>
      <w:lvlJc w:val="left"/>
      <w:pPr>
        <w:tabs>
          <w:tab w:val="num" w:pos="5760"/>
        </w:tabs>
        <w:ind w:left="5760" w:hanging="360"/>
      </w:pPr>
      <w:rPr>
        <w:rFonts w:ascii="Arial" w:hAnsi="Arial" w:hint="default"/>
      </w:rPr>
    </w:lvl>
    <w:lvl w:ilvl="8" w:tplc="5CA6B50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617098"/>
    <w:multiLevelType w:val="hybridMultilevel"/>
    <w:tmpl w:val="79D8E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584C32"/>
    <w:multiLevelType w:val="hybridMultilevel"/>
    <w:tmpl w:val="68BA27A0"/>
    <w:lvl w:ilvl="0" w:tplc="CD6661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C1C0862"/>
    <w:multiLevelType w:val="hybridMultilevel"/>
    <w:tmpl w:val="6798A5C4"/>
    <w:lvl w:ilvl="0" w:tplc="E6C4963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6"/>
  </w:num>
  <w:num w:numId="4">
    <w:abstractNumId w:val="46"/>
  </w:num>
  <w:num w:numId="5">
    <w:abstractNumId w:val="23"/>
  </w:num>
  <w:num w:numId="6">
    <w:abstractNumId w:val="19"/>
  </w:num>
  <w:num w:numId="7">
    <w:abstractNumId w:val="38"/>
  </w:num>
  <w:num w:numId="8">
    <w:abstractNumId w:val="12"/>
  </w:num>
  <w:num w:numId="9">
    <w:abstractNumId w:val="48"/>
  </w:num>
  <w:num w:numId="10">
    <w:abstractNumId w:val="25"/>
  </w:num>
  <w:num w:numId="11">
    <w:abstractNumId w:val="3"/>
  </w:num>
  <w:num w:numId="12">
    <w:abstractNumId w:val="4"/>
  </w:num>
  <w:num w:numId="13">
    <w:abstractNumId w:val="2"/>
  </w:num>
  <w:num w:numId="14">
    <w:abstractNumId w:val="42"/>
  </w:num>
  <w:num w:numId="15">
    <w:abstractNumId w:val="18"/>
  </w:num>
  <w:num w:numId="16">
    <w:abstractNumId w:val="28"/>
  </w:num>
  <w:num w:numId="17">
    <w:abstractNumId w:val="11"/>
  </w:num>
  <w:num w:numId="18">
    <w:abstractNumId w:val="33"/>
  </w:num>
  <w:num w:numId="19">
    <w:abstractNumId w:val="37"/>
  </w:num>
  <w:num w:numId="20">
    <w:abstractNumId w:val="15"/>
  </w:num>
  <w:num w:numId="21">
    <w:abstractNumId w:val="30"/>
  </w:num>
  <w:num w:numId="22">
    <w:abstractNumId w:val="14"/>
  </w:num>
  <w:num w:numId="23">
    <w:abstractNumId w:val="43"/>
  </w:num>
  <w:num w:numId="24">
    <w:abstractNumId w:val="16"/>
  </w:num>
  <w:num w:numId="25">
    <w:abstractNumId w:val="24"/>
  </w:num>
  <w:num w:numId="26">
    <w:abstractNumId w:val="5"/>
  </w:num>
  <w:num w:numId="27">
    <w:abstractNumId w:val="35"/>
  </w:num>
  <w:num w:numId="28">
    <w:abstractNumId w:val="17"/>
  </w:num>
  <w:num w:numId="29">
    <w:abstractNumId w:val="36"/>
  </w:num>
  <w:num w:numId="30">
    <w:abstractNumId w:val="8"/>
  </w:num>
  <w:num w:numId="31">
    <w:abstractNumId w:val="27"/>
  </w:num>
  <w:num w:numId="32">
    <w:abstractNumId w:val="26"/>
  </w:num>
  <w:num w:numId="33">
    <w:abstractNumId w:val="47"/>
  </w:num>
  <w:num w:numId="34">
    <w:abstractNumId w:val="9"/>
  </w:num>
  <w:num w:numId="35">
    <w:abstractNumId w:val="31"/>
  </w:num>
  <w:num w:numId="36">
    <w:abstractNumId w:val="39"/>
  </w:num>
  <w:num w:numId="37">
    <w:abstractNumId w:val="34"/>
  </w:num>
  <w:num w:numId="38">
    <w:abstractNumId w:val="32"/>
  </w:num>
  <w:num w:numId="39">
    <w:abstractNumId w:val="50"/>
  </w:num>
  <w:num w:numId="40">
    <w:abstractNumId w:val="29"/>
  </w:num>
  <w:num w:numId="41">
    <w:abstractNumId w:val="44"/>
  </w:num>
  <w:num w:numId="42">
    <w:abstractNumId w:val="20"/>
  </w:num>
  <w:num w:numId="43">
    <w:abstractNumId w:val="41"/>
  </w:num>
  <w:num w:numId="44">
    <w:abstractNumId w:val="40"/>
  </w:num>
  <w:num w:numId="45">
    <w:abstractNumId w:val="10"/>
  </w:num>
  <w:num w:numId="46">
    <w:abstractNumId w:val="21"/>
  </w:num>
  <w:num w:numId="47">
    <w:abstractNumId w:val="1"/>
  </w:num>
  <w:num w:numId="48">
    <w:abstractNumId w:val="13"/>
  </w:num>
  <w:num w:numId="49">
    <w:abstractNumId w:val="49"/>
  </w:num>
  <w:num w:numId="50">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CE"/>
    <w:rsid w:val="00001503"/>
    <w:rsid w:val="000020FB"/>
    <w:rsid w:val="0000483F"/>
    <w:rsid w:val="00004F58"/>
    <w:rsid w:val="00013017"/>
    <w:rsid w:val="00015F8A"/>
    <w:rsid w:val="00022A1D"/>
    <w:rsid w:val="00027D44"/>
    <w:rsid w:val="0003292B"/>
    <w:rsid w:val="000339E7"/>
    <w:rsid w:val="00034809"/>
    <w:rsid w:val="000367D9"/>
    <w:rsid w:val="00042272"/>
    <w:rsid w:val="000422BA"/>
    <w:rsid w:val="000430A3"/>
    <w:rsid w:val="000438AF"/>
    <w:rsid w:val="00044280"/>
    <w:rsid w:val="00046BE9"/>
    <w:rsid w:val="00053EE8"/>
    <w:rsid w:val="00054634"/>
    <w:rsid w:val="00060F9C"/>
    <w:rsid w:val="00064BA8"/>
    <w:rsid w:val="000700E0"/>
    <w:rsid w:val="00074267"/>
    <w:rsid w:val="00075997"/>
    <w:rsid w:val="000768DC"/>
    <w:rsid w:val="000812C0"/>
    <w:rsid w:val="0008357D"/>
    <w:rsid w:val="0008485B"/>
    <w:rsid w:val="00085187"/>
    <w:rsid w:val="00086483"/>
    <w:rsid w:val="000917ED"/>
    <w:rsid w:val="00093500"/>
    <w:rsid w:val="000A3442"/>
    <w:rsid w:val="000A5353"/>
    <w:rsid w:val="000A765C"/>
    <w:rsid w:val="000B296F"/>
    <w:rsid w:val="000B505A"/>
    <w:rsid w:val="000B725E"/>
    <w:rsid w:val="000B7F14"/>
    <w:rsid w:val="000C2BF6"/>
    <w:rsid w:val="000C3C17"/>
    <w:rsid w:val="000C3EEB"/>
    <w:rsid w:val="000D1454"/>
    <w:rsid w:val="000D1AED"/>
    <w:rsid w:val="000D6D6B"/>
    <w:rsid w:val="000E1BFA"/>
    <w:rsid w:val="000F116D"/>
    <w:rsid w:val="000F16E6"/>
    <w:rsid w:val="000F2D2A"/>
    <w:rsid w:val="000F34A5"/>
    <w:rsid w:val="000F3B52"/>
    <w:rsid w:val="000F3DAF"/>
    <w:rsid w:val="000F472A"/>
    <w:rsid w:val="001041C2"/>
    <w:rsid w:val="00111480"/>
    <w:rsid w:val="0011187D"/>
    <w:rsid w:val="00120BC1"/>
    <w:rsid w:val="001224F3"/>
    <w:rsid w:val="00122DB2"/>
    <w:rsid w:val="00122DFD"/>
    <w:rsid w:val="0012368E"/>
    <w:rsid w:val="00123FD0"/>
    <w:rsid w:val="00126817"/>
    <w:rsid w:val="00130C35"/>
    <w:rsid w:val="00130E54"/>
    <w:rsid w:val="001322AF"/>
    <w:rsid w:val="001419B5"/>
    <w:rsid w:val="00144AAB"/>
    <w:rsid w:val="00150371"/>
    <w:rsid w:val="00156BAC"/>
    <w:rsid w:val="0016034D"/>
    <w:rsid w:val="001636C1"/>
    <w:rsid w:val="001664CD"/>
    <w:rsid w:val="00170861"/>
    <w:rsid w:val="00171E82"/>
    <w:rsid w:val="00176512"/>
    <w:rsid w:val="0018110C"/>
    <w:rsid w:val="001813E2"/>
    <w:rsid w:val="00190CD8"/>
    <w:rsid w:val="001914C1"/>
    <w:rsid w:val="00191CBE"/>
    <w:rsid w:val="00193493"/>
    <w:rsid w:val="00196FDF"/>
    <w:rsid w:val="001A27B9"/>
    <w:rsid w:val="001A3257"/>
    <w:rsid w:val="001A7011"/>
    <w:rsid w:val="001B0BCA"/>
    <w:rsid w:val="001B1208"/>
    <w:rsid w:val="001B2EB4"/>
    <w:rsid w:val="001B36A9"/>
    <w:rsid w:val="001B7DDE"/>
    <w:rsid w:val="001C0CAC"/>
    <w:rsid w:val="001C3C72"/>
    <w:rsid w:val="001C46BD"/>
    <w:rsid w:val="001C4F62"/>
    <w:rsid w:val="001C5A7C"/>
    <w:rsid w:val="001C68B8"/>
    <w:rsid w:val="001D1455"/>
    <w:rsid w:val="001D1B86"/>
    <w:rsid w:val="001D1D11"/>
    <w:rsid w:val="001D237A"/>
    <w:rsid w:val="001D5310"/>
    <w:rsid w:val="001D63EC"/>
    <w:rsid w:val="001D668F"/>
    <w:rsid w:val="001D698B"/>
    <w:rsid w:val="001D6B66"/>
    <w:rsid w:val="001E022F"/>
    <w:rsid w:val="001E2058"/>
    <w:rsid w:val="001E4413"/>
    <w:rsid w:val="001E7C79"/>
    <w:rsid w:val="001E7CB3"/>
    <w:rsid w:val="001F1C5E"/>
    <w:rsid w:val="001F1E2C"/>
    <w:rsid w:val="001F2F0F"/>
    <w:rsid w:val="001F60B3"/>
    <w:rsid w:val="00207339"/>
    <w:rsid w:val="002110FE"/>
    <w:rsid w:val="002114C7"/>
    <w:rsid w:val="002124C8"/>
    <w:rsid w:val="00212B60"/>
    <w:rsid w:val="00213BB8"/>
    <w:rsid w:val="002200B1"/>
    <w:rsid w:val="00222C91"/>
    <w:rsid w:val="00223151"/>
    <w:rsid w:val="002248CF"/>
    <w:rsid w:val="002323BD"/>
    <w:rsid w:val="00232467"/>
    <w:rsid w:val="00232D3F"/>
    <w:rsid w:val="00242F25"/>
    <w:rsid w:val="00243504"/>
    <w:rsid w:val="00245C55"/>
    <w:rsid w:val="00250615"/>
    <w:rsid w:val="00250F3C"/>
    <w:rsid w:val="0025192D"/>
    <w:rsid w:val="0025319F"/>
    <w:rsid w:val="00256430"/>
    <w:rsid w:val="002575F3"/>
    <w:rsid w:val="002625B7"/>
    <w:rsid w:val="0026650B"/>
    <w:rsid w:val="002704C0"/>
    <w:rsid w:val="00280832"/>
    <w:rsid w:val="00280A16"/>
    <w:rsid w:val="0028267B"/>
    <w:rsid w:val="00285E03"/>
    <w:rsid w:val="00295535"/>
    <w:rsid w:val="00296A0C"/>
    <w:rsid w:val="00296E01"/>
    <w:rsid w:val="002A1611"/>
    <w:rsid w:val="002A33DB"/>
    <w:rsid w:val="002A39AA"/>
    <w:rsid w:val="002A6BE6"/>
    <w:rsid w:val="002A7D87"/>
    <w:rsid w:val="002B0CF7"/>
    <w:rsid w:val="002B3656"/>
    <w:rsid w:val="002B3A91"/>
    <w:rsid w:val="002B48A0"/>
    <w:rsid w:val="002B5247"/>
    <w:rsid w:val="002B7AC4"/>
    <w:rsid w:val="002C4526"/>
    <w:rsid w:val="002D0EAE"/>
    <w:rsid w:val="002D14DB"/>
    <w:rsid w:val="002D20A7"/>
    <w:rsid w:val="002D50D7"/>
    <w:rsid w:val="002D74C0"/>
    <w:rsid w:val="002E0DF7"/>
    <w:rsid w:val="002E56CC"/>
    <w:rsid w:val="002E7647"/>
    <w:rsid w:val="002F0D6D"/>
    <w:rsid w:val="002F16ED"/>
    <w:rsid w:val="002F6C50"/>
    <w:rsid w:val="002F7614"/>
    <w:rsid w:val="00300EC4"/>
    <w:rsid w:val="00301C22"/>
    <w:rsid w:val="00311D71"/>
    <w:rsid w:val="00312753"/>
    <w:rsid w:val="00312BF4"/>
    <w:rsid w:val="003145CE"/>
    <w:rsid w:val="003156CA"/>
    <w:rsid w:val="00315735"/>
    <w:rsid w:val="003166DC"/>
    <w:rsid w:val="003202C7"/>
    <w:rsid w:val="003228F0"/>
    <w:rsid w:val="003238FF"/>
    <w:rsid w:val="0032679C"/>
    <w:rsid w:val="00326F89"/>
    <w:rsid w:val="003311B2"/>
    <w:rsid w:val="003317B3"/>
    <w:rsid w:val="00332397"/>
    <w:rsid w:val="003345E6"/>
    <w:rsid w:val="0033734D"/>
    <w:rsid w:val="00340136"/>
    <w:rsid w:val="00340E0F"/>
    <w:rsid w:val="00340F7C"/>
    <w:rsid w:val="00341418"/>
    <w:rsid w:val="003442B4"/>
    <w:rsid w:val="00350554"/>
    <w:rsid w:val="0035248A"/>
    <w:rsid w:val="00357C8C"/>
    <w:rsid w:val="00361F5B"/>
    <w:rsid w:val="0036382D"/>
    <w:rsid w:val="00367ACF"/>
    <w:rsid w:val="003725BB"/>
    <w:rsid w:val="00372F0D"/>
    <w:rsid w:val="00373DB3"/>
    <w:rsid w:val="0037473F"/>
    <w:rsid w:val="003768A8"/>
    <w:rsid w:val="00376CE0"/>
    <w:rsid w:val="00377112"/>
    <w:rsid w:val="00377391"/>
    <w:rsid w:val="00377D6C"/>
    <w:rsid w:val="0038153A"/>
    <w:rsid w:val="00390A97"/>
    <w:rsid w:val="0039129E"/>
    <w:rsid w:val="00392B6A"/>
    <w:rsid w:val="0039473D"/>
    <w:rsid w:val="00397434"/>
    <w:rsid w:val="003A34A6"/>
    <w:rsid w:val="003A3E6B"/>
    <w:rsid w:val="003A44C4"/>
    <w:rsid w:val="003A76A2"/>
    <w:rsid w:val="003B3488"/>
    <w:rsid w:val="003B432C"/>
    <w:rsid w:val="003B4D15"/>
    <w:rsid w:val="003B69AC"/>
    <w:rsid w:val="003C3574"/>
    <w:rsid w:val="003C3A22"/>
    <w:rsid w:val="003C6742"/>
    <w:rsid w:val="003D0EE5"/>
    <w:rsid w:val="003D1FFC"/>
    <w:rsid w:val="003D2461"/>
    <w:rsid w:val="003D29D2"/>
    <w:rsid w:val="003D2CCB"/>
    <w:rsid w:val="003D6161"/>
    <w:rsid w:val="003E0098"/>
    <w:rsid w:val="003E0C5C"/>
    <w:rsid w:val="003E5C1F"/>
    <w:rsid w:val="003E6C4B"/>
    <w:rsid w:val="003E784F"/>
    <w:rsid w:val="003F158E"/>
    <w:rsid w:val="003F2D52"/>
    <w:rsid w:val="003F55DE"/>
    <w:rsid w:val="003F7E3C"/>
    <w:rsid w:val="00403764"/>
    <w:rsid w:val="00407879"/>
    <w:rsid w:val="00410AE3"/>
    <w:rsid w:val="00415A39"/>
    <w:rsid w:val="0042020F"/>
    <w:rsid w:val="0042447E"/>
    <w:rsid w:val="00426145"/>
    <w:rsid w:val="004278F9"/>
    <w:rsid w:val="004332B1"/>
    <w:rsid w:val="004338CD"/>
    <w:rsid w:val="00440A9C"/>
    <w:rsid w:val="00443BD3"/>
    <w:rsid w:val="00446E8E"/>
    <w:rsid w:val="004509DD"/>
    <w:rsid w:val="0046078B"/>
    <w:rsid w:val="004616F0"/>
    <w:rsid w:val="004645C8"/>
    <w:rsid w:val="004661D8"/>
    <w:rsid w:val="00466737"/>
    <w:rsid w:val="0046777A"/>
    <w:rsid w:val="00467B4E"/>
    <w:rsid w:val="0047294D"/>
    <w:rsid w:val="00473602"/>
    <w:rsid w:val="004742F5"/>
    <w:rsid w:val="0047599B"/>
    <w:rsid w:val="00480E97"/>
    <w:rsid w:val="0048368C"/>
    <w:rsid w:val="00495D38"/>
    <w:rsid w:val="00496049"/>
    <w:rsid w:val="00497233"/>
    <w:rsid w:val="004A338A"/>
    <w:rsid w:val="004A44F5"/>
    <w:rsid w:val="004C0BBF"/>
    <w:rsid w:val="004C12F9"/>
    <w:rsid w:val="004C4466"/>
    <w:rsid w:val="004D13CC"/>
    <w:rsid w:val="004D1587"/>
    <w:rsid w:val="004D1D72"/>
    <w:rsid w:val="004D356A"/>
    <w:rsid w:val="004D41FC"/>
    <w:rsid w:val="004D6E15"/>
    <w:rsid w:val="004E3416"/>
    <w:rsid w:val="004E45E4"/>
    <w:rsid w:val="004E74CA"/>
    <w:rsid w:val="004F393C"/>
    <w:rsid w:val="004F4AA4"/>
    <w:rsid w:val="004F68E3"/>
    <w:rsid w:val="004F7F2C"/>
    <w:rsid w:val="00502F8D"/>
    <w:rsid w:val="00512A9C"/>
    <w:rsid w:val="00512AAE"/>
    <w:rsid w:val="005162DB"/>
    <w:rsid w:val="005214EF"/>
    <w:rsid w:val="00525A71"/>
    <w:rsid w:val="00530A64"/>
    <w:rsid w:val="00531E94"/>
    <w:rsid w:val="00533F9A"/>
    <w:rsid w:val="00536A98"/>
    <w:rsid w:val="005371D4"/>
    <w:rsid w:val="00541AEA"/>
    <w:rsid w:val="0054288E"/>
    <w:rsid w:val="00544D46"/>
    <w:rsid w:val="00545335"/>
    <w:rsid w:val="00550C91"/>
    <w:rsid w:val="00551765"/>
    <w:rsid w:val="00556899"/>
    <w:rsid w:val="00557C8D"/>
    <w:rsid w:val="00561846"/>
    <w:rsid w:val="00563F51"/>
    <w:rsid w:val="005670E7"/>
    <w:rsid w:val="00567260"/>
    <w:rsid w:val="005723F3"/>
    <w:rsid w:val="0057398D"/>
    <w:rsid w:val="005764A8"/>
    <w:rsid w:val="00580193"/>
    <w:rsid w:val="00580BFB"/>
    <w:rsid w:val="00583A82"/>
    <w:rsid w:val="00584DD9"/>
    <w:rsid w:val="005850BC"/>
    <w:rsid w:val="00586837"/>
    <w:rsid w:val="005901CA"/>
    <w:rsid w:val="005909E5"/>
    <w:rsid w:val="005922A3"/>
    <w:rsid w:val="005968DF"/>
    <w:rsid w:val="005A0E1A"/>
    <w:rsid w:val="005A3475"/>
    <w:rsid w:val="005A6180"/>
    <w:rsid w:val="005A7DE1"/>
    <w:rsid w:val="005B3D0B"/>
    <w:rsid w:val="005B623F"/>
    <w:rsid w:val="005B793D"/>
    <w:rsid w:val="005D2536"/>
    <w:rsid w:val="005E34F7"/>
    <w:rsid w:val="005E7D79"/>
    <w:rsid w:val="005F019B"/>
    <w:rsid w:val="005F18EB"/>
    <w:rsid w:val="005F43DC"/>
    <w:rsid w:val="006056FA"/>
    <w:rsid w:val="006119EC"/>
    <w:rsid w:val="00612969"/>
    <w:rsid w:val="00613DD6"/>
    <w:rsid w:val="00615B61"/>
    <w:rsid w:val="00625FBE"/>
    <w:rsid w:val="006264DE"/>
    <w:rsid w:val="00631B16"/>
    <w:rsid w:val="0063380F"/>
    <w:rsid w:val="00634600"/>
    <w:rsid w:val="006362DB"/>
    <w:rsid w:val="0063703A"/>
    <w:rsid w:val="006400C8"/>
    <w:rsid w:val="0064576B"/>
    <w:rsid w:val="00646159"/>
    <w:rsid w:val="00647AE5"/>
    <w:rsid w:val="0065041B"/>
    <w:rsid w:val="00653E40"/>
    <w:rsid w:val="006554AA"/>
    <w:rsid w:val="0065614B"/>
    <w:rsid w:val="00656D9A"/>
    <w:rsid w:val="0066036B"/>
    <w:rsid w:val="00670B39"/>
    <w:rsid w:val="00671681"/>
    <w:rsid w:val="00671B67"/>
    <w:rsid w:val="006729A7"/>
    <w:rsid w:val="00672C39"/>
    <w:rsid w:val="00676FB6"/>
    <w:rsid w:val="006872FA"/>
    <w:rsid w:val="00690A7F"/>
    <w:rsid w:val="0069143C"/>
    <w:rsid w:val="00692312"/>
    <w:rsid w:val="00693C36"/>
    <w:rsid w:val="00694C0C"/>
    <w:rsid w:val="00694F3D"/>
    <w:rsid w:val="0069582B"/>
    <w:rsid w:val="006963FC"/>
    <w:rsid w:val="0069682F"/>
    <w:rsid w:val="006A22BC"/>
    <w:rsid w:val="006A3F0C"/>
    <w:rsid w:val="006B2005"/>
    <w:rsid w:val="006B4291"/>
    <w:rsid w:val="006C2A6A"/>
    <w:rsid w:val="006C472D"/>
    <w:rsid w:val="006C6B64"/>
    <w:rsid w:val="006C7092"/>
    <w:rsid w:val="006C7116"/>
    <w:rsid w:val="006D3F1D"/>
    <w:rsid w:val="006D57CA"/>
    <w:rsid w:val="006D68B1"/>
    <w:rsid w:val="006E2866"/>
    <w:rsid w:val="006E436C"/>
    <w:rsid w:val="006E6689"/>
    <w:rsid w:val="006F2302"/>
    <w:rsid w:val="006F45C8"/>
    <w:rsid w:val="007027DF"/>
    <w:rsid w:val="0071136F"/>
    <w:rsid w:val="007143F2"/>
    <w:rsid w:val="007145EE"/>
    <w:rsid w:val="007169F3"/>
    <w:rsid w:val="00716A2F"/>
    <w:rsid w:val="00716C9B"/>
    <w:rsid w:val="007207FA"/>
    <w:rsid w:val="00725980"/>
    <w:rsid w:val="00740347"/>
    <w:rsid w:val="00744515"/>
    <w:rsid w:val="00746944"/>
    <w:rsid w:val="007477BE"/>
    <w:rsid w:val="00747E21"/>
    <w:rsid w:val="00751E81"/>
    <w:rsid w:val="00752FA6"/>
    <w:rsid w:val="00753EF5"/>
    <w:rsid w:val="00753FC4"/>
    <w:rsid w:val="00754DB1"/>
    <w:rsid w:val="00755F0F"/>
    <w:rsid w:val="00762CB4"/>
    <w:rsid w:val="007646D2"/>
    <w:rsid w:val="00764973"/>
    <w:rsid w:val="00765A12"/>
    <w:rsid w:val="00765B1E"/>
    <w:rsid w:val="007669D7"/>
    <w:rsid w:val="00773995"/>
    <w:rsid w:val="0077604E"/>
    <w:rsid w:val="00787305"/>
    <w:rsid w:val="00790E8F"/>
    <w:rsid w:val="007A1162"/>
    <w:rsid w:val="007A38ED"/>
    <w:rsid w:val="007A3901"/>
    <w:rsid w:val="007A3ABC"/>
    <w:rsid w:val="007A3CD2"/>
    <w:rsid w:val="007A4FD6"/>
    <w:rsid w:val="007B4659"/>
    <w:rsid w:val="007B55AD"/>
    <w:rsid w:val="007C01BD"/>
    <w:rsid w:val="007C1626"/>
    <w:rsid w:val="007C2FF8"/>
    <w:rsid w:val="007C33AA"/>
    <w:rsid w:val="007C5DF3"/>
    <w:rsid w:val="007D073A"/>
    <w:rsid w:val="007D0C86"/>
    <w:rsid w:val="007D598D"/>
    <w:rsid w:val="007E2A14"/>
    <w:rsid w:val="007E2A92"/>
    <w:rsid w:val="007E3DB9"/>
    <w:rsid w:val="007E77A5"/>
    <w:rsid w:val="007F48C6"/>
    <w:rsid w:val="007F614B"/>
    <w:rsid w:val="007F71B9"/>
    <w:rsid w:val="00804275"/>
    <w:rsid w:val="00804729"/>
    <w:rsid w:val="00804DD2"/>
    <w:rsid w:val="00806F56"/>
    <w:rsid w:val="00812CC7"/>
    <w:rsid w:val="00814210"/>
    <w:rsid w:val="0081536B"/>
    <w:rsid w:val="008179B9"/>
    <w:rsid w:val="00820F77"/>
    <w:rsid w:val="00822813"/>
    <w:rsid w:val="00823351"/>
    <w:rsid w:val="00825C9A"/>
    <w:rsid w:val="00826483"/>
    <w:rsid w:val="00827C41"/>
    <w:rsid w:val="00827E57"/>
    <w:rsid w:val="00831CD6"/>
    <w:rsid w:val="0083266A"/>
    <w:rsid w:val="0083288F"/>
    <w:rsid w:val="00833215"/>
    <w:rsid w:val="00841229"/>
    <w:rsid w:val="008454F3"/>
    <w:rsid w:val="0085219A"/>
    <w:rsid w:val="00852FCE"/>
    <w:rsid w:val="00854D9B"/>
    <w:rsid w:val="00854E3C"/>
    <w:rsid w:val="00854E45"/>
    <w:rsid w:val="0086386C"/>
    <w:rsid w:val="00864356"/>
    <w:rsid w:val="00866D43"/>
    <w:rsid w:val="008727E6"/>
    <w:rsid w:val="0087503A"/>
    <w:rsid w:val="008809F8"/>
    <w:rsid w:val="00882504"/>
    <w:rsid w:val="00883C7F"/>
    <w:rsid w:val="00883D9E"/>
    <w:rsid w:val="0088655C"/>
    <w:rsid w:val="0088672C"/>
    <w:rsid w:val="00886807"/>
    <w:rsid w:val="00887666"/>
    <w:rsid w:val="00887D18"/>
    <w:rsid w:val="00892239"/>
    <w:rsid w:val="00896651"/>
    <w:rsid w:val="008A2BBC"/>
    <w:rsid w:val="008A40FD"/>
    <w:rsid w:val="008A5136"/>
    <w:rsid w:val="008B4708"/>
    <w:rsid w:val="008B6A1E"/>
    <w:rsid w:val="008C0699"/>
    <w:rsid w:val="008C08AD"/>
    <w:rsid w:val="008C08D6"/>
    <w:rsid w:val="008C1A38"/>
    <w:rsid w:val="008D5006"/>
    <w:rsid w:val="008D6CB0"/>
    <w:rsid w:val="008E05BE"/>
    <w:rsid w:val="008E61E4"/>
    <w:rsid w:val="008E7916"/>
    <w:rsid w:val="008F0BB4"/>
    <w:rsid w:val="00902606"/>
    <w:rsid w:val="00905144"/>
    <w:rsid w:val="00907367"/>
    <w:rsid w:val="00910994"/>
    <w:rsid w:val="00915CFC"/>
    <w:rsid w:val="009173D1"/>
    <w:rsid w:val="009176B1"/>
    <w:rsid w:val="00917767"/>
    <w:rsid w:val="00925E64"/>
    <w:rsid w:val="0092652E"/>
    <w:rsid w:val="00926B4E"/>
    <w:rsid w:val="00927CD2"/>
    <w:rsid w:val="009330FE"/>
    <w:rsid w:val="00937048"/>
    <w:rsid w:val="00947C79"/>
    <w:rsid w:val="00947CB3"/>
    <w:rsid w:val="0095163F"/>
    <w:rsid w:val="009518C7"/>
    <w:rsid w:val="009526F6"/>
    <w:rsid w:val="00952AC9"/>
    <w:rsid w:val="0095328A"/>
    <w:rsid w:val="00955913"/>
    <w:rsid w:val="009568A6"/>
    <w:rsid w:val="00957147"/>
    <w:rsid w:val="00960528"/>
    <w:rsid w:val="00966301"/>
    <w:rsid w:val="00966468"/>
    <w:rsid w:val="0096775B"/>
    <w:rsid w:val="009876E8"/>
    <w:rsid w:val="00991E86"/>
    <w:rsid w:val="0099364B"/>
    <w:rsid w:val="00997FB8"/>
    <w:rsid w:val="009A1B2D"/>
    <w:rsid w:val="009A1D88"/>
    <w:rsid w:val="009A2B11"/>
    <w:rsid w:val="009A689A"/>
    <w:rsid w:val="009B1AF3"/>
    <w:rsid w:val="009B39A3"/>
    <w:rsid w:val="009B4DCB"/>
    <w:rsid w:val="009B5714"/>
    <w:rsid w:val="009C7703"/>
    <w:rsid w:val="009D1A75"/>
    <w:rsid w:val="009D2989"/>
    <w:rsid w:val="009D3997"/>
    <w:rsid w:val="009D46C3"/>
    <w:rsid w:val="009D4FEE"/>
    <w:rsid w:val="009F3447"/>
    <w:rsid w:val="009F75F7"/>
    <w:rsid w:val="00A039D4"/>
    <w:rsid w:val="00A0538D"/>
    <w:rsid w:val="00A057B8"/>
    <w:rsid w:val="00A0760D"/>
    <w:rsid w:val="00A1177E"/>
    <w:rsid w:val="00A119C4"/>
    <w:rsid w:val="00A155C2"/>
    <w:rsid w:val="00A17326"/>
    <w:rsid w:val="00A173FF"/>
    <w:rsid w:val="00A2544D"/>
    <w:rsid w:val="00A2546A"/>
    <w:rsid w:val="00A35AA9"/>
    <w:rsid w:val="00A4016F"/>
    <w:rsid w:val="00A40C3B"/>
    <w:rsid w:val="00A412CF"/>
    <w:rsid w:val="00A41A50"/>
    <w:rsid w:val="00A47730"/>
    <w:rsid w:val="00A52F9E"/>
    <w:rsid w:val="00A57F3C"/>
    <w:rsid w:val="00A606CF"/>
    <w:rsid w:val="00A64B2A"/>
    <w:rsid w:val="00A65528"/>
    <w:rsid w:val="00A668A4"/>
    <w:rsid w:val="00A71069"/>
    <w:rsid w:val="00A71BF4"/>
    <w:rsid w:val="00A71C8C"/>
    <w:rsid w:val="00A7237C"/>
    <w:rsid w:val="00A72E44"/>
    <w:rsid w:val="00A7325C"/>
    <w:rsid w:val="00A7376D"/>
    <w:rsid w:val="00A74A5B"/>
    <w:rsid w:val="00A8146A"/>
    <w:rsid w:val="00A962D5"/>
    <w:rsid w:val="00A962DC"/>
    <w:rsid w:val="00AA488B"/>
    <w:rsid w:val="00AA5BC5"/>
    <w:rsid w:val="00AA6C4D"/>
    <w:rsid w:val="00AB0065"/>
    <w:rsid w:val="00AB5D03"/>
    <w:rsid w:val="00AC1BCD"/>
    <w:rsid w:val="00AC2377"/>
    <w:rsid w:val="00AC4204"/>
    <w:rsid w:val="00AC5BD5"/>
    <w:rsid w:val="00AD07DC"/>
    <w:rsid w:val="00AD2325"/>
    <w:rsid w:val="00AD249A"/>
    <w:rsid w:val="00AE0762"/>
    <w:rsid w:val="00AE0B5A"/>
    <w:rsid w:val="00AE2B8A"/>
    <w:rsid w:val="00AF06A1"/>
    <w:rsid w:val="00AF21E4"/>
    <w:rsid w:val="00AF2B46"/>
    <w:rsid w:val="00AF2BD8"/>
    <w:rsid w:val="00AF6CA4"/>
    <w:rsid w:val="00AF7DB9"/>
    <w:rsid w:val="00B00708"/>
    <w:rsid w:val="00B01B90"/>
    <w:rsid w:val="00B03033"/>
    <w:rsid w:val="00B103A1"/>
    <w:rsid w:val="00B126E0"/>
    <w:rsid w:val="00B12BEE"/>
    <w:rsid w:val="00B16CC3"/>
    <w:rsid w:val="00B17489"/>
    <w:rsid w:val="00B22311"/>
    <w:rsid w:val="00B23C5D"/>
    <w:rsid w:val="00B24B27"/>
    <w:rsid w:val="00B27F7B"/>
    <w:rsid w:val="00B30219"/>
    <w:rsid w:val="00B330BB"/>
    <w:rsid w:val="00B34509"/>
    <w:rsid w:val="00B34AEA"/>
    <w:rsid w:val="00B350F0"/>
    <w:rsid w:val="00B35703"/>
    <w:rsid w:val="00B4028F"/>
    <w:rsid w:val="00B42957"/>
    <w:rsid w:val="00B43E73"/>
    <w:rsid w:val="00B56A6C"/>
    <w:rsid w:val="00B57C41"/>
    <w:rsid w:val="00B57E0D"/>
    <w:rsid w:val="00B620F3"/>
    <w:rsid w:val="00B63069"/>
    <w:rsid w:val="00B639C7"/>
    <w:rsid w:val="00B65C75"/>
    <w:rsid w:val="00B700BB"/>
    <w:rsid w:val="00B73531"/>
    <w:rsid w:val="00B80B18"/>
    <w:rsid w:val="00B84AFE"/>
    <w:rsid w:val="00B90885"/>
    <w:rsid w:val="00BA53AF"/>
    <w:rsid w:val="00BA7B88"/>
    <w:rsid w:val="00BB2316"/>
    <w:rsid w:val="00BB26F4"/>
    <w:rsid w:val="00BB66EE"/>
    <w:rsid w:val="00BB797D"/>
    <w:rsid w:val="00BC0A36"/>
    <w:rsid w:val="00BC1337"/>
    <w:rsid w:val="00BC47C4"/>
    <w:rsid w:val="00BC5823"/>
    <w:rsid w:val="00BC64F0"/>
    <w:rsid w:val="00BD672C"/>
    <w:rsid w:val="00BE26DB"/>
    <w:rsid w:val="00BE73B4"/>
    <w:rsid w:val="00BE79D4"/>
    <w:rsid w:val="00C0172C"/>
    <w:rsid w:val="00C0262B"/>
    <w:rsid w:val="00C02C63"/>
    <w:rsid w:val="00C035DA"/>
    <w:rsid w:val="00C076E3"/>
    <w:rsid w:val="00C114E7"/>
    <w:rsid w:val="00C12190"/>
    <w:rsid w:val="00C144F9"/>
    <w:rsid w:val="00C17C01"/>
    <w:rsid w:val="00C211B1"/>
    <w:rsid w:val="00C23729"/>
    <w:rsid w:val="00C24372"/>
    <w:rsid w:val="00C26CB6"/>
    <w:rsid w:val="00C32871"/>
    <w:rsid w:val="00C36905"/>
    <w:rsid w:val="00C432EB"/>
    <w:rsid w:val="00C44363"/>
    <w:rsid w:val="00C51F14"/>
    <w:rsid w:val="00C52046"/>
    <w:rsid w:val="00C52D18"/>
    <w:rsid w:val="00C60790"/>
    <w:rsid w:val="00C64205"/>
    <w:rsid w:val="00C65300"/>
    <w:rsid w:val="00C6564E"/>
    <w:rsid w:val="00C6570A"/>
    <w:rsid w:val="00C66F35"/>
    <w:rsid w:val="00C67060"/>
    <w:rsid w:val="00C678F2"/>
    <w:rsid w:val="00C70839"/>
    <w:rsid w:val="00C71549"/>
    <w:rsid w:val="00C8300D"/>
    <w:rsid w:val="00C92362"/>
    <w:rsid w:val="00C9387F"/>
    <w:rsid w:val="00C94733"/>
    <w:rsid w:val="00C95D25"/>
    <w:rsid w:val="00CA3BA8"/>
    <w:rsid w:val="00CA51AF"/>
    <w:rsid w:val="00CB10C5"/>
    <w:rsid w:val="00CB354C"/>
    <w:rsid w:val="00CB4F98"/>
    <w:rsid w:val="00CB7F42"/>
    <w:rsid w:val="00CC266F"/>
    <w:rsid w:val="00CD1AE7"/>
    <w:rsid w:val="00CD45AF"/>
    <w:rsid w:val="00CE3448"/>
    <w:rsid w:val="00CE7CCA"/>
    <w:rsid w:val="00CF2FEF"/>
    <w:rsid w:val="00CF320B"/>
    <w:rsid w:val="00CF4157"/>
    <w:rsid w:val="00CF6CF5"/>
    <w:rsid w:val="00D02970"/>
    <w:rsid w:val="00D0761C"/>
    <w:rsid w:val="00D13DC6"/>
    <w:rsid w:val="00D141FB"/>
    <w:rsid w:val="00D1437E"/>
    <w:rsid w:val="00D1565C"/>
    <w:rsid w:val="00D165CC"/>
    <w:rsid w:val="00D2051D"/>
    <w:rsid w:val="00D2274D"/>
    <w:rsid w:val="00D3154D"/>
    <w:rsid w:val="00D34B97"/>
    <w:rsid w:val="00D373E8"/>
    <w:rsid w:val="00D3756A"/>
    <w:rsid w:val="00D37FFE"/>
    <w:rsid w:val="00D40AA1"/>
    <w:rsid w:val="00D42ABD"/>
    <w:rsid w:val="00D452CB"/>
    <w:rsid w:val="00D50FB0"/>
    <w:rsid w:val="00D51A7D"/>
    <w:rsid w:val="00D53DE8"/>
    <w:rsid w:val="00D54372"/>
    <w:rsid w:val="00D56728"/>
    <w:rsid w:val="00D56895"/>
    <w:rsid w:val="00D737BD"/>
    <w:rsid w:val="00D7520D"/>
    <w:rsid w:val="00D77AA5"/>
    <w:rsid w:val="00D84D3B"/>
    <w:rsid w:val="00D86FC9"/>
    <w:rsid w:val="00D87EFB"/>
    <w:rsid w:val="00D913DE"/>
    <w:rsid w:val="00D9211B"/>
    <w:rsid w:val="00D9385D"/>
    <w:rsid w:val="00DA199D"/>
    <w:rsid w:val="00DA1F67"/>
    <w:rsid w:val="00DA3480"/>
    <w:rsid w:val="00DA682D"/>
    <w:rsid w:val="00DB24E7"/>
    <w:rsid w:val="00DB4D7E"/>
    <w:rsid w:val="00DB599A"/>
    <w:rsid w:val="00DB651B"/>
    <w:rsid w:val="00DB6C8C"/>
    <w:rsid w:val="00DC1F86"/>
    <w:rsid w:val="00DC1F8A"/>
    <w:rsid w:val="00DC1F97"/>
    <w:rsid w:val="00DC211B"/>
    <w:rsid w:val="00DC4B7F"/>
    <w:rsid w:val="00DC6301"/>
    <w:rsid w:val="00DD0025"/>
    <w:rsid w:val="00DD0B0D"/>
    <w:rsid w:val="00DD0F1D"/>
    <w:rsid w:val="00DD0F54"/>
    <w:rsid w:val="00DD381D"/>
    <w:rsid w:val="00DD756D"/>
    <w:rsid w:val="00DD7F3A"/>
    <w:rsid w:val="00DF4CAB"/>
    <w:rsid w:val="00DF7563"/>
    <w:rsid w:val="00DF7937"/>
    <w:rsid w:val="00E00465"/>
    <w:rsid w:val="00E0133C"/>
    <w:rsid w:val="00E070B8"/>
    <w:rsid w:val="00E10F86"/>
    <w:rsid w:val="00E23222"/>
    <w:rsid w:val="00E32322"/>
    <w:rsid w:val="00E35E61"/>
    <w:rsid w:val="00E35EE8"/>
    <w:rsid w:val="00E3791B"/>
    <w:rsid w:val="00E4548F"/>
    <w:rsid w:val="00E51731"/>
    <w:rsid w:val="00E54BD8"/>
    <w:rsid w:val="00E57EC6"/>
    <w:rsid w:val="00E60338"/>
    <w:rsid w:val="00E6399D"/>
    <w:rsid w:val="00E663F6"/>
    <w:rsid w:val="00E66A49"/>
    <w:rsid w:val="00E67D50"/>
    <w:rsid w:val="00E72782"/>
    <w:rsid w:val="00E75E1F"/>
    <w:rsid w:val="00E80D38"/>
    <w:rsid w:val="00E85434"/>
    <w:rsid w:val="00E859F0"/>
    <w:rsid w:val="00E8718A"/>
    <w:rsid w:val="00E91E48"/>
    <w:rsid w:val="00E95BA2"/>
    <w:rsid w:val="00E97C46"/>
    <w:rsid w:val="00EA01DA"/>
    <w:rsid w:val="00EA662F"/>
    <w:rsid w:val="00EA6703"/>
    <w:rsid w:val="00EA6858"/>
    <w:rsid w:val="00EA7E94"/>
    <w:rsid w:val="00EB1753"/>
    <w:rsid w:val="00EB1A8A"/>
    <w:rsid w:val="00EB1C9E"/>
    <w:rsid w:val="00EB65C5"/>
    <w:rsid w:val="00EB7ACB"/>
    <w:rsid w:val="00EC45E7"/>
    <w:rsid w:val="00EC59B6"/>
    <w:rsid w:val="00EC7A62"/>
    <w:rsid w:val="00ED0495"/>
    <w:rsid w:val="00ED222C"/>
    <w:rsid w:val="00ED25A0"/>
    <w:rsid w:val="00ED45FE"/>
    <w:rsid w:val="00ED6660"/>
    <w:rsid w:val="00EE0F43"/>
    <w:rsid w:val="00EE1435"/>
    <w:rsid w:val="00EE1B18"/>
    <w:rsid w:val="00EE2B4E"/>
    <w:rsid w:val="00EE42F8"/>
    <w:rsid w:val="00EE43CB"/>
    <w:rsid w:val="00EE5B3A"/>
    <w:rsid w:val="00EE6ABD"/>
    <w:rsid w:val="00EF083E"/>
    <w:rsid w:val="00EF1BFB"/>
    <w:rsid w:val="00EF1EEB"/>
    <w:rsid w:val="00EF50A6"/>
    <w:rsid w:val="00F019EB"/>
    <w:rsid w:val="00F04C52"/>
    <w:rsid w:val="00F073BF"/>
    <w:rsid w:val="00F108E2"/>
    <w:rsid w:val="00F1197E"/>
    <w:rsid w:val="00F12143"/>
    <w:rsid w:val="00F12B17"/>
    <w:rsid w:val="00F13661"/>
    <w:rsid w:val="00F1559B"/>
    <w:rsid w:val="00F17260"/>
    <w:rsid w:val="00F20135"/>
    <w:rsid w:val="00F20EF1"/>
    <w:rsid w:val="00F22360"/>
    <w:rsid w:val="00F23E64"/>
    <w:rsid w:val="00F25A5C"/>
    <w:rsid w:val="00F2734D"/>
    <w:rsid w:val="00F27EAB"/>
    <w:rsid w:val="00F302FA"/>
    <w:rsid w:val="00F30B53"/>
    <w:rsid w:val="00F30DFF"/>
    <w:rsid w:val="00F315FD"/>
    <w:rsid w:val="00F36650"/>
    <w:rsid w:val="00F37236"/>
    <w:rsid w:val="00F40678"/>
    <w:rsid w:val="00F4229D"/>
    <w:rsid w:val="00F47FCC"/>
    <w:rsid w:val="00F5062B"/>
    <w:rsid w:val="00F50D7B"/>
    <w:rsid w:val="00F55167"/>
    <w:rsid w:val="00F5648B"/>
    <w:rsid w:val="00F61DB5"/>
    <w:rsid w:val="00F665F2"/>
    <w:rsid w:val="00F744CE"/>
    <w:rsid w:val="00F75781"/>
    <w:rsid w:val="00F764AC"/>
    <w:rsid w:val="00F8184B"/>
    <w:rsid w:val="00F82478"/>
    <w:rsid w:val="00F8248C"/>
    <w:rsid w:val="00F92DA1"/>
    <w:rsid w:val="00F972F0"/>
    <w:rsid w:val="00FA1EA6"/>
    <w:rsid w:val="00FA35A0"/>
    <w:rsid w:val="00FA7350"/>
    <w:rsid w:val="00FB1575"/>
    <w:rsid w:val="00FB4E6E"/>
    <w:rsid w:val="00FC0235"/>
    <w:rsid w:val="00FC0C5A"/>
    <w:rsid w:val="00FC199F"/>
    <w:rsid w:val="00FC4707"/>
    <w:rsid w:val="00FC583D"/>
    <w:rsid w:val="00FD0094"/>
    <w:rsid w:val="00FD0858"/>
    <w:rsid w:val="00FD22B9"/>
    <w:rsid w:val="00FD249F"/>
    <w:rsid w:val="00FD3802"/>
    <w:rsid w:val="00FD4B84"/>
    <w:rsid w:val="00FD6279"/>
    <w:rsid w:val="00FE44EE"/>
    <w:rsid w:val="00FE4C49"/>
    <w:rsid w:val="00FE5E3F"/>
    <w:rsid w:val="00FE716F"/>
    <w:rsid w:val="00FE7F3A"/>
    <w:rsid w:val="00FF1EDD"/>
    <w:rsid w:val="00FF5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B930A0"/>
  <w15:docId w15:val="{6650CF21-B99C-4D3D-BA6A-D05BA827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56D"/>
    <w:pPr>
      <w:spacing w:before="120" w:after="0" w:line="240" w:lineRule="auto"/>
      <w:jc w:val="both"/>
    </w:pPr>
    <w:rPr>
      <w:rFonts w:ascii="Arial" w:hAnsi="Arial"/>
      <w:sz w:val="20"/>
    </w:rPr>
  </w:style>
  <w:style w:type="paragraph" w:styleId="Titre1">
    <w:name w:val="heading 1"/>
    <w:basedOn w:val="Normal"/>
    <w:next w:val="Normal"/>
    <w:link w:val="Titre1Car"/>
    <w:uiPriority w:val="9"/>
    <w:qFormat/>
    <w:rsid w:val="00392B6A"/>
    <w:pPr>
      <w:keepNext/>
      <w:keepLines/>
      <w:spacing w:before="240"/>
      <w:outlineLvl w:val="0"/>
    </w:pPr>
    <w:rPr>
      <w:rFonts w:eastAsiaTheme="majorEastAsia" w:cstheme="majorBidi"/>
      <w:smallCaps/>
      <w:color w:val="0070C0"/>
      <w:sz w:val="32"/>
      <w:szCs w:val="32"/>
      <w:u w:val="single"/>
    </w:rPr>
  </w:style>
  <w:style w:type="paragraph" w:styleId="Titre2">
    <w:name w:val="heading 2"/>
    <w:basedOn w:val="Normal"/>
    <w:next w:val="Normal"/>
    <w:link w:val="Titre2Car"/>
    <w:uiPriority w:val="9"/>
    <w:unhideWhenUsed/>
    <w:qFormat/>
    <w:rsid w:val="00AF7DB9"/>
    <w:pPr>
      <w:keepNext/>
      <w:keepLines/>
      <w:spacing w:before="160" w:after="240"/>
      <w:ind w:left="567"/>
      <w:outlineLvl w:val="1"/>
    </w:pPr>
    <w:rPr>
      <w:rFonts w:eastAsiaTheme="majorEastAsia" w:cstheme="majorBidi"/>
      <w:color w:val="365F91" w:themeColor="accent1" w:themeShade="BF"/>
      <w:sz w:val="26"/>
      <w:szCs w:val="26"/>
      <w:u w:val="single"/>
    </w:rPr>
  </w:style>
  <w:style w:type="paragraph" w:styleId="Titre3">
    <w:name w:val="heading 3"/>
    <w:basedOn w:val="Normal"/>
    <w:next w:val="Normal"/>
    <w:link w:val="Titre3Car"/>
    <w:uiPriority w:val="9"/>
    <w:unhideWhenUsed/>
    <w:qFormat/>
    <w:rsid w:val="00AB006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2704C0"/>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2005"/>
    <w:rPr>
      <w:rFonts w:ascii="Tahoma" w:hAnsi="Tahoma" w:cs="Tahoma"/>
      <w:sz w:val="16"/>
      <w:szCs w:val="16"/>
    </w:rPr>
  </w:style>
  <w:style w:type="character" w:customStyle="1" w:styleId="TextedebullesCar">
    <w:name w:val="Texte de bulles Car"/>
    <w:basedOn w:val="Policepardfaut"/>
    <w:link w:val="Textedebulles"/>
    <w:uiPriority w:val="99"/>
    <w:semiHidden/>
    <w:rsid w:val="006B2005"/>
    <w:rPr>
      <w:rFonts w:ascii="Tahoma" w:hAnsi="Tahoma" w:cs="Tahoma"/>
      <w:sz w:val="16"/>
      <w:szCs w:val="16"/>
    </w:rPr>
  </w:style>
  <w:style w:type="paragraph" w:styleId="En-tte">
    <w:name w:val="header"/>
    <w:basedOn w:val="Normal"/>
    <w:link w:val="En-tteCar"/>
    <w:uiPriority w:val="99"/>
    <w:unhideWhenUsed/>
    <w:rsid w:val="00F315FD"/>
    <w:pPr>
      <w:tabs>
        <w:tab w:val="center" w:pos="4536"/>
        <w:tab w:val="right" w:pos="9072"/>
      </w:tabs>
    </w:pPr>
  </w:style>
  <w:style w:type="character" w:customStyle="1" w:styleId="En-tteCar">
    <w:name w:val="En-tête Car"/>
    <w:basedOn w:val="Policepardfaut"/>
    <w:link w:val="En-tte"/>
    <w:uiPriority w:val="99"/>
    <w:rsid w:val="00F315FD"/>
  </w:style>
  <w:style w:type="paragraph" w:styleId="Pieddepage">
    <w:name w:val="footer"/>
    <w:basedOn w:val="Normal"/>
    <w:link w:val="PieddepageCar"/>
    <w:uiPriority w:val="99"/>
    <w:unhideWhenUsed/>
    <w:rsid w:val="00F315FD"/>
    <w:pPr>
      <w:tabs>
        <w:tab w:val="center" w:pos="4536"/>
        <w:tab w:val="right" w:pos="9072"/>
      </w:tabs>
    </w:pPr>
  </w:style>
  <w:style w:type="character" w:customStyle="1" w:styleId="PieddepageCar">
    <w:name w:val="Pied de page Car"/>
    <w:basedOn w:val="Policepardfaut"/>
    <w:link w:val="Pieddepage"/>
    <w:uiPriority w:val="99"/>
    <w:rsid w:val="00F315FD"/>
  </w:style>
  <w:style w:type="character" w:styleId="Numrodepage">
    <w:name w:val="page number"/>
    <w:basedOn w:val="Policepardfaut"/>
    <w:uiPriority w:val="99"/>
    <w:semiHidden/>
    <w:unhideWhenUsed/>
    <w:rsid w:val="00B4028F"/>
  </w:style>
  <w:style w:type="paragraph" w:styleId="Paragraphedeliste">
    <w:name w:val="List Paragraph"/>
    <w:aliases w:val="ADEME Paragraphe de liste"/>
    <w:basedOn w:val="Normal"/>
    <w:link w:val="ParagraphedelisteCar"/>
    <w:uiPriority w:val="34"/>
    <w:qFormat/>
    <w:rsid w:val="007A3ABC"/>
    <w:pPr>
      <w:ind w:left="720"/>
      <w:contextualSpacing/>
    </w:pPr>
  </w:style>
  <w:style w:type="table" w:styleId="Grilledutableau">
    <w:name w:val="Table Grid"/>
    <w:basedOn w:val="TableauNormal"/>
    <w:uiPriority w:val="59"/>
    <w:rsid w:val="006F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95535"/>
    <w:rPr>
      <w:szCs w:val="20"/>
    </w:rPr>
  </w:style>
  <w:style w:type="character" w:customStyle="1" w:styleId="NotedefinCar">
    <w:name w:val="Note de fin Car"/>
    <w:basedOn w:val="Policepardfaut"/>
    <w:link w:val="Notedefin"/>
    <w:uiPriority w:val="99"/>
    <w:semiHidden/>
    <w:rsid w:val="00295535"/>
    <w:rPr>
      <w:sz w:val="20"/>
      <w:szCs w:val="20"/>
    </w:rPr>
  </w:style>
  <w:style w:type="character" w:styleId="Appeldenotedefin">
    <w:name w:val="endnote reference"/>
    <w:basedOn w:val="Policepardfaut"/>
    <w:uiPriority w:val="99"/>
    <w:semiHidden/>
    <w:unhideWhenUsed/>
    <w:rsid w:val="00295535"/>
    <w:rPr>
      <w:vertAlign w:val="superscript"/>
    </w:rPr>
  </w:style>
  <w:style w:type="paragraph" w:styleId="Notedebasdepage">
    <w:name w:val="footnote text"/>
    <w:basedOn w:val="Normal"/>
    <w:link w:val="NotedebasdepageCar"/>
    <w:uiPriority w:val="99"/>
    <w:semiHidden/>
    <w:unhideWhenUsed/>
    <w:rsid w:val="00295535"/>
    <w:rPr>
      <w:szCs w:val="20"/>
    </w:rPr>
  </w:style>
  <w:style w:type="character" w:customStyle="1" w:styleId="NotedebasdepageCar">
    <w:name w:val="Note de bas de page Car"/>
    <w:basedOn w:val="Policepardfaut"/>
    <w:link w:val="Notedebasdepage"/>
    <w:uiPriority w:val="99"/>
    <w:semiHidden/>
    <w:rsid w:val="00295535"/>
    <w:rPr>
      <w:sz w:val="20"/>
      <w:szCs w:val="20"/>
    </w:rPr>
  </w:style>
  <w:style w:type="character" w:styleId="Appelnotedebasdep">
    <w:name w:val="footnote reference"/>
    <w:basedOn w:val="Policepardfaut"/>
    <w:uiPriority w:val="99"/>
    <w:semiHidden/>
    <w:unhideWhenUsed/>
    <w:rsid w:val="00295535"/>
    <w:rPr>
      <w:vertAlign w:val="superscript"/>
    </w:rPr>
  </w:style>
  <w:style w:type="character" w:styleId="Lienhypertexte">
    <w:name w:val="Hyperlink"/>
    <w:basedOn w:val="Policepardfaut"/>
    <w:uiPriority w:val="99"/>
    <w:unhideWhenUsed/>
    <w:rsid w:val="00295535"/>
    <w:rPr>
      <w:color w:val="0000FF" w:themeColor="hyperlink"/>
      <w:u w:val="single"/>
    </w:rPr>
  </w:style>
  <w:style w:type="paragraph" w:styleId="Sansinterligne">
    <w:name w:val="No Spacing"/>
    <w:uiPriority w:val="1"/>
    <w:qFormat/>
    <w:rsid w:val="00852FCE"/>
    <w:pPr>
      <w:spacing w:after="0" w:line="240" w:lineRule="auto"/>
    </w:pPr>
  </w:style>
  <w:style w:type="paragraph" w:styleId="Titre">
    <w:name w:val="Title"/>
    <w:basedOn w:val="Normal"/>
    <w:next w:val="Normal"/>
    <w:link w:val="TitreCar"/>
    <w:uiPriority w:val="10"/>
    <w:qFormat/>
    <w:rsid w:val="00852FCE"/>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852FCE"/>
    <w:rPr>
      <w:rFonts w:eastAsiaTheme="majorEastAsia" w:cstheme="majorBidi"/>
      <w:spacing w:val="-10"/>
      <w:kern w:val="28"/>
      <w:sz w:val="56"/>
      <w:szCs w:val="56"/>
    </w:rPr>
  </w:style>
  <w:style w:type="character" w:customStyle="1" w:styleId="Titre1Car">
    <w:name w:val="Titre 1 Car"/>
    <w:basedOn w:val="Policepardfaut"/>
    <w:link w:val="Titre1"/>
    <w:uiPriority w:val="9"/>
    <w:rsid w:val="00392B6A"/>
    <w:rPr>
      <w:rFonts w:ascii="Arial" w:eastAsiaTheme="majorEastAsia" w:hAnsi="Arial" w:cstheme="majorBidi"/>
      <w:smallCaps/>
      <w:color w:val="0070C0"/>
      <w:sz w:val="32"/>
      <w:szCs w:val="32"/>
      <w:u w:val="single"/>
    </w:rPr>
  </w:style>
  <w:style w:type="character" w:customStyle="1" w:styleId="Titre2Car">
    <w:name w:val="Titre 2 Car"/>
    <w:basedOn w:val="Policepardfaut"/>
    <w:link w:val="Titre2"/>
    <w:uiPriority w:val="9"/>
    <w:rsid w:val="00AF7DB9"/>
    <w:rPr>
      <w:rFonts w:ascii="Arial" w:eastAsiaTheme="majorEastAsia" w:hAnsi="Arial" w:cstheme="majorBidi"/>
      <w:color w:val="365F91" w:themeColor="accent1" w:themeShade="BF"/>
      <w:sz w:val="26"/>
      <w:szCs w:val="26"/>
      <w:u w:val="single"/>
    </w:rPr>
  </w:style>
  <w:style w:type="paragraph" w:styleId="Sous-titre">
    <w:name w:val="Subtitle"/>
    <w:basedOn w:val="Normal"/>
    <w:next w:val="Normal"/>
    <w:link w:val="Sous-titreCar"/>
    <w:uiPriority w:val="11"/>
    <w:qFormat/>
    <w:rsid w:val="00852FC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52FCE"/>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D9385D"/>
    <w:rPr>
      <w:sz w:val="16"/>
      <w:szCs w:val="16"/>
    </w:rPr>
  </w:style>
  <w:style w:type="paragraph" w:styleId="Commentaire">
    <w:name w:val="annotation text"/>
    <w:basedOn w:val="Normal"/>
    <w:link w:val="CommentaireCar"/>
    <w:uiPriority w:val="99"/>
    <w:unhideWhenUsed/>
    <w:rsid w:val="00D9385D"/>
    <w:rPr>
      <w:szCs w:val="20"/>
    </w:rPr>
  </w:style>
  <w:style w:type="character" w:customStyle="1" w:styleId="CommentaireCar">
    <w:name w:val="Commentaire Car"/>
    <w:basedOn w:val="Policepardfaut"/>
    <w:link w:val="Commentaire"/>
    <w:uiPriority w:val="99"/>
    <w:rsid w:val="00D9385D"/>
    <w:rPr>
      <w:sz w:val="20"/>
      <w:szCs w:val="20"/>
    </w:rPr>
  </w:style>
  <w:style w:type="paragraph" w:styleId="Objetducommentaire">
    <w:name w:val="annotation subject"/>
    <w:basedOn w:val="Commentaire"/>
    <w:next w:val="Commentaire"/>
    <w:link w:val="ObjetducommentaireCar"/>
    <w:uiPriority w:val="99"/>
    <w:semiHidden/>
    <w:unhideWhenUsed/>
    <w:rsid w:val="00D9385D"/>
    <w:rPr>
      <w:b/>
      <w:bCs/>
    </w:rPr>
  </w:style>
  <w:style w:type="character" w:customStyle="1" w:styleId="ObjetducommentaireCar">
    <w:name w:val="Objet du commentaire Car"/>
    <w:basedOn w:val="CommentaireCar"/>
    <w:link w:val="Objetducommentaire"/>
    <w:uiPriority w:val="99"/>
    <w:semiHidden/>
    <w:rsid w:val="00D9385D"/>
    <w:rPr>
      <w:b/>
      <w:bCs/>
      <w:sz w:val="20"/>
      <w:szCs w:val="20"/>
    </w:rPr>
  </w:style>
  <w:style w:type="character" w:customStyle="1" w:styleId="Titre3Car">
    <w:name w:val="Titre 3 Car"/>
    <w:basedOn w:val="Policepardfaut"/>
    <w:link w:val="Titre3"/>
    <w:uiPriority w:val="9"/>
    <w:rsid w:val="00AB0065"/>
    <w:rPr>
      <w:rFonts w:asciiTheme="majorHAnsi" w:eastAsiaTheme="majorEastAsia" w:hAnsiTheme="majorHAnsi" w:cstheme="majorBidi"/>
      <w:color w:val="243F60" w:themeColor="accent1" w:themeShade="7F"/>
      <w:sz w:val="24"/>
      <w:szCs w:val="24"/>
    </w:rPr>
  </w:style>
  <w:style w:type="character" w:customStyle="1" w:styleId="ParagraphedelisteCar">
    <w:name w:val="Paragraphe de liste Car"/>
    <w:aliases w:val="ADEME Paragraphe de liste Car"/>
    <w:basedOn w:val="Policepardfaut"/>
    <w:link w:val="Paragraphedeliste"/>
    <w:uiPriority w:val="34"/>
    <w:rsid w:val="000D1AED"/>
  </w:style>
  <w:style w:type="character" w:styleId="lev">
    <w:name w:val="Strong"/>
    <w:basedOn w:val="Policepardfaut"/>
    <w:uiPriority w:val="22"/>
    <w:qFormat/>
    <w:rsid w:val="00693C36"/>
    <w:rPr>
      <w:b/>
      <w:bCs/>
    </w:rPr>
  </w:style>
  <w:style w:type="character" w:styleId="Textedelespacerserv">
    <w:name w:val="Placeholder Text"/>
    <w:basedOn w:val="Policepardfaut"/>
    <w:uiPriority w:val="99"/>
    <w:semiHidden/>
    <w:rsid w:val="00BB797D"/>
    <w:rPr>
      <w:color w:val="808080"/>
    </w:rPr>
  </w:style>
  <w:style w:type="paragraph" w:styleId="Corpsdetexte">
    <w:name w:val="Body Text"/>
    <w:basedOn w:val="Normal"/>
    <w:link w:val="CorpsdetexteCar"/>
    <w:rsid w:val="00ED0495"/>
    <w:pPr>
      <w:suppressAutoHyphens/>
      <w:spacing w:after="120"/>
      <w:jc w:val="left"/>
    </w:pPr>
    <w:rPr>
      <w:rFonts w:ascii="Calibri" w:eastAsia="SimSun" w:hAnsi="Calibri" w:cs="font299"/>
      <w:lang w:eastAsia="zh-CN"/>
    </w:rPr>
  </w:style>
  <w:style w:type="character" w:customStyle="1" w:styleId="CorpsdetexteCar">
    <w:name w:val="Corps de texte Car"/>
    <w:basedOn w:val="Policepardfaut"/>
    <w:link w:val="Corpsdetexte"/>
    <w:rsid w:val="00ED0495"/>
    <w:rPr>
      <w:rFonts w:ascii="Calibri" w:eastAsia="SimSun" w:hAnsi="Calibri" w:cs="font299"/>
      <w:lang w:eastAsia="zh-CN"/>
    </w:rPr>
  </w:style>
  <w:style w:type="character" w:styleId="Lienhypertextesuivivisit">
    <w:name w:val="FollowedHyperlink"/>
    <w:basedOn w:val="Policepardfaut"/>
    <w:uiPriority w:val="99"/>
    <w:semiHidden/>
    <w:unhideWhenUsed/>
    <w:rsid w:val="005B793D"/>
    <w:rPr>
      <w:color w:val="800080" w:themeColor="followedHyperlink"/>
      <w:u w:val="single"/>
    </w:rPr>
  </w:style>
  <w:style w:type="paragraph" w:customStyle="1" w:styleId="Default">
    <w:name w:val="Default"/>
    <w:rsid w:val="00FC199F"/>
    <w:pPr>
      <w:autoSpaceDE w:val="0"/>
      <w:autoSpaceDN w:val="0"/>
      <w:adjustRightInd w:val="0"/>
      <w:spacing w:after="0" w:line="240" w:lineRule="auto"/>
    </w:pPr>
    <w:rPr>
      <w:rFonts w:ascii="Calibri" w:hAnsi="Calibri" w:cs="Calibri"/>
      <w:color w:val="000000"/>
      <w:sz w:val="24"/>
      <w:szCs w:val="24"/>
    </w:rPr>
  </w:style>
  <w:style w:type="character" w:customStyle="1" w:styleId="En-ttedemessagetiquette">
    <w:name w:val="En-tête de message (Étiquette)"/>
    <w:rsid w:val="00D165CC"/>
    <w:rPr>
      <w:rFonts w:ascii="Arial Black" w:hAnsi="Arial Black"/>
      <w:spacing w:val="-10"/>
      <w:sz w:val="18"/>
      <w:szCs w:val="18"/>
    </w:rPr>
  </w:style>
  <w:style w:type="character" w:customStyle="1" w:styleId="Titre4Car">
    <w:name w:val="Titre 4 Car"/>
    <w:basedOn w:val="Policepardfaut"/>
    <w:link w:val="Titre4"/>
    <w:uiPriority w:val="9"/>
    <w:rsid w:val="002704C0"/>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3D2CCB"/>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Rvision">
    <w:name w:val="Revision"/>
    <w:hidden/>
    <w:uiPriority w:val="99"/>
    <w:semiHidden/>
    <w:rsid w:val="00D34B9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5584">
      <w:bodyDiv w:val="1"/>
      <w:marLeft w:val="0"/>
      <w:marRight w:val="0"/>
      <w:marTop w:val="0"/>
      <w:marBottom w:val="0"/>
      <w:divBdr>
        <w:top w:val="none" w:sz="0" w:space="0" w:color="auto"/>
        <w:left w:val="none" w:sz="0" w:space="0" w:color="auto"/>
        <w:bottom w:val="none" w:sz="0" w:space="0" w:color="auto"/>
        <w:right w:val="none" w:sz="0" w:space="0" w:color="auto"/>
      </w:divBdr>
    </w:div>
    <w:div w:id="1266767065">
      <w:bodyDiv w:val="1"/>
      <w:marLeft w:val="0"/>
      <w:marRight w:val="0"/>
      <w:marTop w:val="0"/>
      <w:marBottom w:val="0"/>
      <w:divBdr>
        <w:top w:val="none" w:sz="0" w:space="0" w:color="auto"/>
        <w:left w:val="none" w:sz="0" w:space="0" w:color="auto"/>
        <w:bottom w:val="none" w:sz="0" w:space="0" w:color="auto"/>
        <w:right w:val="none" w:sz="0" w:space="0" w:color="auto"/>
      </w:divBdr>
    </w:div>
    <w:div w:id="1267032670">
      <w:bodyDiv w:val="1"/>
      <w:marLeft w:val="0"/>
      <w:marRight w:val="0"/>
      <w:marTop w:val="0"/>
      <w:marBottom w:val="0"/>
      <w:divBdr>
        <w:top w:val="none" w:sz="0" w:space="0" w:color="auto"/>
        <w:left w:val="none" w:sz="0" w:space="0" w:color="auto"/>
        <w:bottom w:val="none" w:sz="0" w:space="0" w:color="auto"/>
        <w:right w:val="none" w:sz="0" w:space="0" w:color="auto"/>
      </w:divBdr>
    </w:div>
    <w:div w:id="1305039706">
      <w:bodyDiv w:val="1"/>
      <w:marLeft w:val="0"/>
      <w:marRight w:val="0"/>
      <w:marTop w:val="0"/>
      <w:marBottom w:val="0"/>
      <w:divBdr>
        <w:top w:val="none" w:sz="0" w:space="0" w:color="auto"/>
        <w:left w:val="none" w:sz="0" w:space="0" w:color="auto"/>
        <w:bottom w:val="none" w:sz="0" w:space="0" w:color="auto"/>
        <w:right w:val="none" w:sz="0" w:space="0" w:color="auto"/>
      </w:divBdr>
      <w:divsChild>
        <w:div w:id="914819687">
          <w:marLeft w:val="835"/>
          <w:marRight w:val="0"/>
          <w:marTop w:val="0"/>
          <w:marBottom w:val="240"/>
          <w:divBdr>
            <w:top w:val="none" w:sz="0" w:space="0" w:color="auto"/>
            <w:left w:val="none" w:sz="0" w:space="0" w:color="auto"/>
            <w:bottom w:val="none" w:sz="0" w:space="0" w:color="auto"/>
            <w:right w:val="none" w:sz="0" w:space="0" w:color="auto"/>
          </w:divBdr>
        </w:div>
        <w:div w:id="1716738580">
          <w:marLeft w:val="1008"/>
          <w:marRight w:val="0"/>
          <w:marTop w:val="0"/>
          <w:marBottom w:val="240"/>
          <w:divBdr>
            <w:top w:val="none" w:sz="0" w:space="0" w:color="auto"/>
            <w:left w:val="none" w:sz="0" w:space="0" w:color="auto"/>
            <w:bottom w:val="none" w:sz="0" w:space="0" w:color="auto"/>
            <w:right w:val="none" w:sz="0" w:space="0" w:color="auto"/>
          </w:divBdr>
        </w:div>
      </w:divsChild>
    </w:div>
    <w:div w:id="1342388075">
      <w:bodyDiv w:val="1"/>
      <w:marLeft w:val="0"/>
      <w:marRight w:val="0"/>
      <w:marTop w:val="0"/>
      <w:marBottom w:val="0"/>
      <w:divBdr>
        <w:top w:val="none" w:sz="0" w:space="0" w:color="auto"/>
        <w:left w:val="none" w:sz="0" w:space="0" w:color="auto"/>
        <w:bottom w:val="none" w:sz="0" w:space="0" w:color="auto"/>
        <w:right w:val="none" w:sz="0" w:space="0" w:color="auto"/>
      </w:divBdr>
    </w:div>
    <w:div w:id="1483041444">
      <w:bodyDiv w:val="1"/>
      <w:marLeft w:val="0"/>
      <w:marRight w:val="0"/>
      <w:marTop w:val="0"/>
      <w:marBottom w:val="0"/>
      <w:divBdr>
        <w:top w:val="none" w:sz="0" w:space="0" w:color="auto"/>
        <w:left w:val="none" w:sz="0" w:space="0" w:color="auto"/>
        <w:bottom w:val="none" w:sz="0" w:space="0" w:color="auto"/>
        <w:right w:val="none" w:sz="0" w:space="0" w:color="auto"/>
      </w:divBdr>
    </w:div>
    <w:div w:id="1792245324">
      <w:bodyDiv w:val="1"/>
      <w:marLeft w:val="0"/>
      <w:marRight w:val="0"/>
      <w:marTop w:val="0"/>
      <w:marBottom w:val="0"/>
      <w:divBdr>
        <w:top w:val="none" w:sz="0" w:space="0" w:color="auto"/>
        <w:left w:val="none" w:sz="0" w:space="0" w:color="auto"/>
        <w:bottom w:val="none" w:sz="0" w:space="0" w:color="auto"/>
        <w:right w:val="none" w:sz="0" w:space="0" w:color="auto"/>
      </w:divBdr>
      <w:divsChild>
        <w:div w:id="220792021">
          <w:marLeft w:val="1008"/>
          <w:marRight w:val="0"/>
          <w:marTop w:val="0"/>
          <w:marBottom w:val="240"/>
          <w:divBdr>
            <w:top w:val="none" w:sz="0" w:space="0" w:color="auto"/>
            <w:left w:val="none" w:sz="0" w:space="0" w:color="auto"/>
            <w:bottom w:val="none" w:sz="0" w:space="0" w:color="auto"/>
            <w:right w:val="none" w:sz="0" w:space="0" w:color="auto"/>
          </w:divBdr>
        </w:div>
      </w:divsChild>
    </w:div>
    <w:div w:id="1808815757">
      <w:bodyDiv w:val="1"/>
      <w:marLeft w:val="0"/>
      <w:marRight w:val="0"/>
      <w:marTop w:val="0"/>
      <w:marBottom w:val="0"/>
      <w:divBdr>
        <w:top w:val="none" w:sz="0" w:space="0" w:color="auto"/>
        <w:left w:val="none" w:sz="0" w:space="0" w:color="auto"/>
        <w:bottom w:val="none" w:sz="0" w:space="0" w:color="auto"/>
        <w:right w:val="none" w:sz="0" w:space="0" w:color="auto"/>
      </w:divBdr>
      <w:divsChild>
        <w:div w:id="1140417117">
          <w:marLeft w:val="0"/>
          <w:marRight w:val="0"/>
          <w:marTop w:val="0"/>
          <w:marBottom w:val="0"/>
          <w:divBdr>
            <w:top w:val="none" w:sz="0" w:space="0" w:color="auto"/>
            <w:left w:val="none" w:sz="0" w:space="0" w:color="auto"/>
            <w:bottom w:val="none" w:sz="0" w:space="0" w:color="auto"/>
            <w:right w:val="none" w:sz="0" w:space="0" w:color="auto"/>
          </w:divBdr>
          <w:divsChild>
            <w:div w:id="1350331081">
              <w:marLeft w:val="0"/>
              <w:marRight w:val="0"/>
              <w:marTop w:val="0"/>
              <w:marBottom w:val="0"/>
              <w:divBdr>
                <w:top w:val="none" w:sz="0" w:space="0" w:color="auto"/>
                <w:left w:val="none" w:sz="0" w:space="0" w:color="auto"/>
                <w:bottom w:val="none" w:sz="0" w:space="0" w:color="auto"/>
                <w:right w:val="none" w:sz="0" w:space="0" w:color="auto"/>
              </w:divBdr>
              <w:divsChild>
                <w:div w:id="330719181">
                  <w:marLeft w:val="0"/>
                  <w:marRight w:val="0"/>
                  <w:marTop w:val="0"/>
                  <w:marBottom w:val="0"/>
                  <w:divBdr>
                    <w:top w:val="none" w:sz="0" w:space="0" w:color="auto"/>
                    <w:left w:val="none" w:sz="0" w:space="0" w:color="auto"/>
                    <w:bottom w:val="none" w:sz="0" w:space="0" w:color="auto"/>
                    <w:right w:val="none" w:sz="0" w:space="0" w:color="auto"/>
                  </w:divBdr>
                  <w:divsChild>
                    <w:div w:id="903221203">
                      <w:marLeft w:val="0"/>
                      <w:marRight w:val="0"/>
                      <w:marTop w:val="0"/>
                      <w:marBottom w:val="0"/>
                      <w:divBdr>
                        <w:top w:val="none" w:sz="0" w:space="0" w:color="auto"/>
                        <w:left w:val="none" w:sz="0" w:space="0" w:color="auto"/>
                        <w:bottom w:val="none" w:sz="0" w:space="0" w:color="auto"/>
                        <w:right w:val="none" w:sz="0" w:space="0" w:color="auto"/>
                      </w:divBdr>
                      <w:divsChild>
                        <w:div w:id="4290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5503">
          <w:marLeft w:val="0"/>
          <w:marRight w:val="0"/>
          <w:marTop w:val="0"/>
          <w:marBottom w:val="0"/>
          <w:divBdr>
            <w:top w:val="none" w:sz="0" w:space="0" w:color="auto"/>
            <w:left w:val="none" w:sz="0" w:space="0" w:color="auto"/>
            <w:bottom w:val="none" w:sz="0" w:space="0" w:color="auto"/>
            <w:right w:val="none" w:sz="0" w:space="0" w:color="auto"/>
          </w:divBdr>
          <w:divsChild>
            <w:div w:id="514002683">
              <w:marLeft w:val="0"/>
              <w:marRight w:val="0"/>
              <w:marTop w:val="0"/>
              <w:marBottom w:val="0"/>
              <w:divBdr>
                <w:top w:val="none" w:sz="0" w:space="0" w:color="auto"/>
                <w:left w:val="none" w:sz="0" w:space="0" w:color="auto"/>
                <w:bottom w:val="none" w:sz="0" w:space="0" w:color="auto"/>
                <w:right w:val="none" w:sz="0" w:space="0" w:color="auto"/>
              </w:divBdr>
              <w:divsChild>
                <w:div w:id="499345399">
                  <w:marLeft w:val="0"/>
                  <w:marRight w:val="0"/>
                  <w:marTop w:val="0"/>
                  <w:marBottom w:val="0"/>
                  <w:divBdr>
                    <w:top w:val="none" w:sz="0" w:space="0" w:color="auto"/>
                    <w:left w:val="none" w:sz="0" w:space="0" w:color="auto"/>
                    <w:bottom w:val="none" w:sz="0" w:space="0" w:color="auto"/>
                    <w:right w:val="none" w:sz="0" w:space="0" w:color="auto"/>
                  </w:divBdr>
                  <w:divsChild>
                    <w:div w:id="853610383">
                      <w:marLeft w:val="0"/>
                      <w:marRight w:val="0"/>
                      <w:marTop w:val="0"/>
                      <w:marBottom w:val="0"/>
                      <w:divBdr>
                        <w:top w:val="none" w:sz="0" w:space="0" w:color="auto"/>
                        <w:left w:val="none" w:sz="0" w:space="0" w:color="auto"/>
                        <w:bottom w:val="none" w:sz="0" w:space="0" w:color="auto"/>
                        <w:right w:val="none" w:sz="0" w:space="0" w:color="auto"/>
                      </w:divBdr>
                    </w:div>
                    <w:div w:id="1982684341">
                      <w:marLeft w:val="0"/>
                      <w:marRight w:val="0"/>
                      <w:marTop w:val="0"/>
                      <w:marBottom w:val="0"/>
                      <w:divBdr>
                        <w:top w:val="none" w:sz="0" w:space="0" w:color="auto"/>
                        <w:left w:val="none" w:sz="0" w:space="0" w:color="auto"/>
                        <w:bottom w:val="none" w:sz="0" w:space="0" w:color="auto"/>
                        <w:right w:val="none" w:sz="0" w:space="0" w:color="auto"/>
                      </w:divBdr>
                      <w:divsChild>
                        <w:div w:id="17201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5118">
              <w:marLeft w:val="0"/>
              <w:marRight w:val="0"/>
              <w:marTop w:val="0"/>
              <w:marBottom w:val="0"/>
              <w:divBdr>
                <w:top w:val="none" w:sz="0" w:space="0" w:color="auto"/>
                <w:left w:val="none" w:sz="0" w:space="0" w:color="auto"/>
                <w:bottom w:val="none" w:sz="0" w:space="0" w:color="auto"/>
                <w:right w:val="none" w:sz="0" w:space="0" w:color="auto"/>
              </w:divBdr>
              <w:divsChild>
                <w:div w:id="2127383641">
                  <w:marLeft w:val="0"/>
                  <w:marRight w:val="0"/>
                  <w:marTop w:val="0"/>
                  <w:marBottom w:val="0"/>
                  <w:divBdr>
                    <w:top w:val="none" w:sz="0" w:space="0" w:color="auto"/>
                    <w:left w:val="none" w:sz="0" w:space="0" w:color="auto"/>
                    <w:bottom w:val="none" w:sz="0" w:space="0" w:color="auto"/>
                    <w:right w:val="none" w:sz="0" w:space="0" w:color="auto"/>
                  </w:divBdr>
                  <w:divsChild>
                    <w:div w:id="1024213578">
                      <w:marLeft w:val="0"/>
                      <w:marRight w:val="0"/>
                      <w:marTop w:val="0"/>
                      <w:marBottom w:val="0"/>
                      <w:divBdr>
                        <w:top w:val="none" w:sz="0" w:space="0" w:color="auto"/>
                        <w:left w:val="none" w:sz="0" w:space="0" w:color="auto"/>
                        <w:bottom w:val="none" w:sz="0" w:space="0" w:color="auto"/>
                        <w:right w:val="none" w:sz="0" w:space="0" w:color="auto"/>
                      </w:divBdr>
                    </w:div>
                    <w:div w:id="1872264427">
                      <w:marLeft w:val="0"/>
                      <w:marRight w:val="0"/>
                      <w:marTop w:val="0"/>
                      <w:marBottom w:val="0"/>
                      <w:divBdr>
                        <w:top w:val="none" w:sz="0" w:space="0" w:color="auto"/>
                        <w:left w:val="none" w:sz="0" w:space="0" w:color="auto"/>
                        <w:bottom w:val="none" w:sz="0" w:space="0" w:color="auto"/>
                        <w:right w:val="none" w:sz="0" w:space="0" w:color="auto"/>
                      </w:divBdr>
                      <w:divsChild>
                        <w:div w:id="735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4381">
              <w:marLeft w:val="0"/>
              <w:marRight w:val="0"/>
              <w:marTop w:val="0"/>
              <w:marBottom w:val="0"/>
              <w:divBdr>
                <w:top w:val="none" w:sz="0" w:space="0" w:color="auto"/>
                <w:left w:val="none" w:sz="0" w:space="0" w:color="auto"/>
                <w:bottom w:val="none" w:sz="0" w:space="0" w:color="auto"/>
                <w:right w:val="none" w:sz="0" w:space="0" w:color="auto"/>
              </w:divBdr>
              <w:divsChild>
                <w:div w:id="1390346679">
                  <w:marLeft w:val="0"/>
                  <w:marRight w:val="0"/>
                  <w:marTop w:val="0"/>
                  <w:marBottom w:val="0"/>
                  <w:divBdr>
                    <w:top w:val="none" w:sz="0" w:space="0" w:color="auto"/>
                    <w:left w:val="none" w:sz="0" w:space="0" w:color="auto"/>
                    <w:bottom w:val="none" w:sz="0" w:space="0" w:color="auto"/>
                    <w:right w:val="none" w:sz="0" w:space="0" w:color="auto"/>
                  </w:divBdr>
                  <w:divsChild>
                    <w:div w:id="400100868">
                      <w:marLeft w:val="0"/>
                      <w:marRight w:val="0"/>
                      <w:marTop w:val="0"/>
                      <w:marBottom w:val="0"/>
                      <w:divBdr>
                        <w:top w:val="none" w:sz="0" w:space="0" w:color="auto"/>
                        <w:left w:val="none" w:sz="0" w:space="0" w:color="auto"/>
                        <w:bottom w:val="none" w:sz="0" w:space="0" w:color="auto"/>
                        <w:right w:val="none" w:sz="0" w:space="0" w:color="auto"/>
                      </w:divBdr>
                    </w:div>
                    <w:div w:id="1759715416">
                      <w:marLeft w:val="0"/>
                      <w:marRight w:val="0"/>
                      <w:marTop w:val="0"/>
                      <w:marBottom w:val="0"/>
                      <w:divBdr>
                        <w:top w:val="none" w:sz="0" w:space="0" w:color="auto"/>
                        <w:left w:val="none" w:sz="0" w:space="0" w:color="auto"/>
                        <w:bottom w:val="none" w:sz="0" w:space="0" w:color="auto"/>
                        <w:right w:val="none" w:sz="0" w:space="0" w:color="auto"/>
                      </w:divBdr>
                      <w:divsChild>
                        <w:div w:id="6876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1065">
          <w:marLeft w:val="0"/>
          <w:marRight w:val="0"/>
          <w:marTop w:val="0"/>
          <w:marBottom w:val="0"/>
          <w:divBdr>
            <w:top w:val="none" w:sz="0" w:space="0" w:color="auto"/>
            <w:left w:val="none" w:sz="0" w:space="0" w:color="auto"/>
            <w:bottom w:val="none" w:sz="0" w:space="0" w:color="auto"/>
            <w:right w:val="none" w:sz="0" w:space="0" w:color="auto"/>
          </w:divBdr>
          <w:divsChild>
            <w:div w:id="304315198">
              <w:marLeft w:val="0"/>
              <w:marRight w:val="0"/>
              <w:marTop w:val="0"/>
              <w:marBottom w:val="0"/>
              <w:divBdr>
                <w:top w:val="none" w:sz="0" w:space="0" w:color="auto"/>
                <w:left w:val="none" w:sz="0" w:space="0" w:color="auto"/>
                <w:bottom w:val="none" w:sz="0" w:space="0" w:color="auto"/>
                <w:right w:val="none" w:sz="0" w:space="0" w:color="auto"/>
              </w:divBdr>
              <w:divsChild>
                <w:div w:id="1066993625">
                  <w:marLeft w:val="0"/>
                  <w:marRight w:val="0"/>
                  <w:marTop w:val="0"/>
                  <w:marBottom w:val="0"/>
                  <w:divBdr>
                    <w:top w:val="none" w:sz="0" w:space="0" w:color="auto"/>
                    <w:left w:val="none" w:sz="0" w:space="0" w:color="auto"/>
                    <w:bottom w:val="none" w:sz="0" w:space="0" w:color="auto"/>
                    <w:right w:val="none" w:sz="0" w:space="0" w:color="auto"/>
                  </w:divBdr>
                  <w:divsChild>
                    <w:div w:id="855660344">
                      <w:marLeft w:val="0"/>
                      <w:marRight w:val="0"/>
                      <w:marTop w:val="0"/>
                      <w:marBottom w:val="0"/>
                      <w:divBdr>
                        <w:top w:val="none" w:sz="0" w:space="0" w:color="auto"/>
                        <w:left w:val="none" w:sz="0" w:space="0" w:color="auto"/>
                        <w:bottom w:val="none" w:sz="0" w:space="0" w:color="auto"/>
                        <w:right w:val="none" w:sz="0" w:space="0" w:color="auto"/>
                      </w:divBdr>
                    </w:div>
                    <w:div w:id="484467574">
                      <w:marLeft w:val="0"/>
                      <w:marRight w:val="0"/>
                      <w:marTop w:val="0"/>
                      <w:marBottom w:val="0"/>
                      <w:divBdr>
                        <w:top w:val="none" w:sz="0" w:space="0" w:color="auto"/>
                        <w:left w:val="none" w:sz="0" w:space="0" w:color="auto"/>
                        <w:bottom w:val="none" w:sz="0" w:space="0" w:color="auto"/>
                        <w:right w:val="none" w:sz="0" w:space="0" w:color="auto"/>
                      </w:divBdr>
                      <w:divsChild>
                        <w:div w:id="450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452">
              <w:marLeft w:val="0"/>
              <w:marRight w:val="0"/>
              <w:marTop w:val="0"/>
              <w:marBottom w:val="0"/>
              <w:divBdr>
                <w:top w:val="none" w:sz="0" w:space="0" w:color="auto"/>
                <w:left w:val="none" w:sz="0" w:space="0" w:color="auto"/>
                <w:bottom w:val="none" w:sz="0" w:space="0" w:color="auto"/>
                <w:right w:val="none" w:sz="0" w:space="0" w:color="auto"/>
              </w:divBdr>
              <w:divsChild>
                <w:div w:id="972293593">
                  <w:marLeft w:val="0"/>
                  <w:marRight w:val="0"/>
                  <w:marTop w:val="0"/>
                  <w:marBottom w:val="0"/>
                  <w:divBdr>
                    <w:top w:val="none" w:sz="0" w:space="0" w:color="auto"/>
                    <w:left w:val="none" w:sz="0" w:space="0" w:color="auto"/>
                    <w:bottom w:val="none" w:sz="0" w:space="0" w:color="auto"/>
                    <w:right w:val="none" w:sz="0" w:space="0" w:color="auto"/>
                  </w:divBdr>
                  <w:divsChild>
                    <w:div w:id="417214998">
                      <w:marLeft w:val="0"/>
                      <w:marRight w:val="0"/>
                      <w:marTop w:val="0"/>
                      <w:marBottom w:val="0"/>
                      <w:divBdr>
                        <w:top w:val="none" w:sz="0" w:space="0" w:color="auto"/>
                        <w:left w:val="none" w:sz="0" w:space="0" w:color="auto"/>
                        <w:bottom w:val="none" w:sz="0" w:space="0" w:color="auto"/>
                        <w:right w:val="none" w:sz="0" w:space="0" w:color="auto"/>
                      </w:divBdr>
                    </w:div>
                    <w:div w:id="1376347071">
                      <w:marLeft w:val="0"/>
                      <w:marRight w:val="0"/>
                      <w:marTop w:val="0"/>
                      <w:marBottom w:val="0"/>
                      <w:divBdr>
                        <w:top w:val="none" w:sz="0" w:space="0" w:color="auto"/>
                        <w:left w:val="none" w:sz="0" w:space="0" w:color="auto"/>
                        <w:bottom w:val="none" w:sz="0" w:space="0" w:color="auto"/>
                        <w:right w:val="none" w:sz="0" w:space="0" w:color="auto"/>
                      </w:divBdr>
                      <w:divsChild>
                        <w:div w:id="816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2929">
              <w:marLeft w:val="0"/>
              <w:marRight w:val="0"/>
              <w:marTop w:val="0"/>
              <w:marBottom w:val="0"/>
              <w:divBdr>
                <w:top w:val="none" w:sz="0" w:space="0" w:color="auto"/>
                <w:left w:val="none" w:sz="0" w:space="0" w:color="auto"/>
                <w:bottom w:val="none" w:sz="0" w:space="0" w:color="auto"/>
                <w:right w:val="none" w:sz="0" w:space="0" w:color="auto"/>
              </w:divBdr>
              <w:divsChild>
                <w:div w:id="1174877592">
                  <w:marLeft w:val="0"/>
                  <w:marRight w:val="0"/>
                  <w:marTop w:val="0"/>
                  <w:marBottom w:val="0"/>
                  <w:divBdr>
                    <w:top w:val="none" w:sz="0" w:space="0" w:color="auto"/>
                    <w:left w:val="none" w:sz="0" w:space="0" w:color="auto"/>
                    <w:bottom w:val="none" w:sz="0" w:space="0" w:color="auto"/>
                    <w:right w:val="none" w:sz="0" w:space="0" w:color="auto"/>
                  </w:divBdr>
                  <w:divsChild>
                    <w:div w:id="1062757349">
                      <w:marLeft w:val="0"/>
                      <w:marRight w:val="0"/>
                      <w:marTop w:val="0"/>
                      <w:marBottom w:val="0"/>
                      <w:divBdr>
                        <w:top w:val="none" w:sz="0" w:space="0" w:color="auto"/>
                        <w:left w:val="none" w:sz="0" w:space="0" w:color="auto"/>
                        <w:bottom w:val="none" w:sz="0" w:space="0" w:color="auto"/>
                        <w:right w:val="none" w:sz="0" w:space="0" w:color="auto"/>
                      </w:divBdr>
                    </w:div>
                    <w:div w:id="461994892">
                      <w:marLeft w:val="0"/>
                      <w:marRight w:val="0"/>
                      <w:marTop w:val="0"/>
                      <w:marBottom w:val="0"/>
                      <w:divBdr>
                        <w:top w:val="none" w:sz="0" w:space="0" w:color="auto"/>
                        <w:left w:val="none" w:sz="0" w:space="0" w:color="auto"/>
                        <w:bottom w:val="none" w:sz="0" w:space="0" w:color="auto"/>
                        <w:right w:val="none" w:sz="0" w:space="0" w:color="auto"/>
                      </w:divBdr>
                      <w:divsChild>
                        <w:div w:id="16797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24">
              <w:marLeft w:val="0"/>
              <w:marRight w:val="0"/>
              <w:marTop w:val="0"/>
              <w:marBottom w:val="0"/>
              <w:divBdr>
                <w:top w:val="none" w:sz="0" w:space="0" w:color="auto"/>
                <w:left w:val="none" w:sz="0" w:space="0" w:color="auto"/>
                <w:bottom w:val="none" w:sz="0" w:space="0" w:color="auto"/>
                <w:right w:val="none" w:sz="0" w:space="0" w:color="auto"/>
              </w:divBdr>
              <w:divsChild>
                <w:div w:id="1497306642">
                  <w:marLeft w:val="0"/>
                  <w:marRight w:val="0"/>
                  <w:marTop w:val="0"/>
                  <w:marBottom w:val="0"/>
                  <w:divBdr>
                    <w:top w:val="none" w:sz="0" w:space="0" w:color="auto"/>
                    <w:left w:val="none" w:sz="0" w:space="0" w:color="auto"/>
                    <w:bottom w:val="none" w:sz="0" w:space="0" w:color="auto"/>
                    <w:right w:val="none" w:sz="0" w:space="0" w:color="auto"/>
                  </w:divBdr>
                  <w:divsChild>
                    <w:div w:id="1881238800">
                      <w:marLeft w:val="0"/>
                      <w:marRight w:val="0"/>
                      <w:marTop w:val="0"/>
                      <w:marBottom w:val="0"/>
                      <w:divBdr>
                        <w:top w:val="none" w:sz="0" w:space="0" w:color="auto"/>
                        <w:left w:val="none" w:sz="0" w:space="0" w:color="auto"/>
                        <w:bottom w:val="none" w:sz="0" w:space="0" w:color="auto"/>
                        <w:right w:val="none" w:sz="0" w:space="0" w:color="auto"/>
                      </w:divBdr>
                    </w:div>
                    <w:div w:id="1832452422">
                      <w:marLeft w:val="0"/>
                      <w:marRight w:val="0"/>
                      <w:marTop w:val="0"/>
                      <w:marBottom w:val="0"/>
                      <w:divBdr>
                        <w:top w:val="none" w:sz="0" w:space="0" w:color="auto"/>
                        <w:left w:val="none" w:sz="0" w:space="0" w:color="auto"/>
                        <w:bottom w:val="none" w:sz="0" w:space="0" w:color="auto"/>
                        <w:right w:val="none" w:sz="0" w:space="0" w:color="auto"/>
                      </w:divBdr>
                      <w:divsChild>
                        <w:div w:id="386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2357">
              <w:marLeft w:val="0"/>
              <w:marRight w:val="0"/>
              <w:marTop w:val="0"/>
              <w:marBottom w:val="0"/>
              <w:divBdr>
                <w:top w:val="none" w:sz="0" w:space="0" w:color="auto"/>
                <w:left w:val="none" w:sz="0" w:space="0" w:color="auto"/>
                <w:bottom w:val="none" w:sz="0" w:space="0" w:color="auto"/>
                <w:right w:val="none" w:sz="0" w:space="0" w:color="auto"/>
              </w:divBdr>
              <w:divsChild>
                <w:div w:id="694112502">
                  <w:marLeft w:val="0"/>
                  <w:marRight w:val="0"/>
                  <w:marTop w:val="0"/>
                  <w:marBottom w:val="0"/>
                  <w:divBdr>
                    <w:top w:val="none" w:sz="0" w:space="0" w:color="auto"/>
                    <w:left w:val="none" w:sz="0" w:space="0" w:color="auto"/>
                    <w:bottom w:val="none" w:sz="0" w:space="0" w:color="auto"/>
                    <w:right w:val="none" w:sz="0" w:space="0" w:color="auto"/>
                  </w:divBdr>
                  <w:divsChild>
                    <w:div w:id="1873107253">
                      <w:marLeft w:val="0"/>
                      <w:marRight w:val="0"/>
                      <w:marTop w:val="0"/>
                      <w:marBottom w:val="0"/>
                      <w:divBdr>
                        <w:top w:val="none" w:sz="0" w:space="0" w:color="auto"/>
                        <w:left w:val="none" w:sz="0" w:space="0" w:color="auto"/>
                        <w:bottom w:val="none" w:sz="0" w:space="0" w:color="auto"/>
                        <w:right w:val="none" w:sz="0" w:space="0" w:color="auto"/>
                      </w:divBdr>
                    </w:div>
                    <w:div w:id="661928848">
                      <w:marLeft w:val="0"/>
                      <w:marRight w:val="0"/>
                      <w:marTop w:val="0"/>
                      <w:marBottom w:val="0"/>
                      <w:divBdr>
                        <w:top w:val="none" w:sz="0" w:space="0" w:color="auto"/>
                        <w:left w:val="none" w:sz="0" w:space="0" w:color="auto"/>
                        <w:bottom w:val="none" w:sz="0" w:space="0" w:color="auto"/>
                        <w:right w:val="none" w:sz="0" w:space="0" w:color="auto"/>
                      </w:divBdr>
                      <w:divsChild>
                        <w:div w:id="16205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6521">
          <w:marLeft w:val="0"/>
          <w:marRight w:val="0"/>
          <w:marTop w:val="0"/>
          <w:marBottom w:val="0"/>
          <w:divBdr>
            <w:top w:val="none" w:sz="0" w:space="0" w:color="auto"/>
            <w:left w:val="none" w:sz="0" w:space="0" w:color="auto"/>
            <w:bottom w:val="none" w:sz="0" w:space="0" w:color="auto"/>
            <w:right w:val="none" w:sz="0" w:space="0" w:color="auto"/>
          </w:divBdr>
          <w:divsChild>
            <w:div w:id="982658856">
              <w:marLeft w:val="0"/>
              <w:marRight w:val="0"/>
              <w:marTop w:val="0"/>
              <w:marBottom w:val="0"/>
              <w:divBdr>
                <w:top w:val="none" w:sz="0" w:space="0" w:color="auto"/>
                <w:left w:val="none" w:sz="0" w:space="0" w:color="auto"/>
                <w:bottom w:val="none" w:sz="0" w:space="0" w:color="auto"/>
                <w:right w:val="none" w:sz="0" w:space="0" w:color="auto"/>
              </w:divBdr>
              <w:divsChild>
                <w:div w:id="1037852593">
                  <w:marLeft w:val="0"/>
                  <w:marRight w:val="0"/>
                  <w:marTop w:val="0"/>
                  <w:marBottom w:val="0"/>
                  <w:divBdr>
                    <w:top w:val="none" w:sz="0" w:space="0" w:color="auto"/>
                    <w:left w:val="none" w:sz="0" w:space="0" w:color="auto"/>
                    <w:bottom w:val="none" w:sz="0" w:space="0" w:color="auto"/>
                    <w:right w:val="none" w:sz="0" w:space="0" w:color="auto"/>
                  </w:divBdr>
                  <w:divsChild>
                    <w:div w:id="1723401605">
                      <w:marLeft w:val="0"/>
                      <w:marRight w:val="0"/>
                      <w:marTop w:val="0"/>
                      <w:marBottom w:val="0"/>
                      <w:divBdr>
                        <w:top w:val="none" w:sz="0" w:space="0" w:color="auto"/>
                        <w:left w:val="none" w:sz="0" w:space="0" w:color="auto"/>
                        <w:bottom w:val="none" w:sz="0" w:space="0" w:color="auto"/>
                        <w:right w:val="none" w:sz="0" w:space="0" w:color="auto"/>
                      </w:divBdr>
                    </w:div>
                    <w:div w:id="1255701364">
                      <w:marLeft w:val="0"/>
                      <w:marRight w:val="0"/>
                      <w:marTop w:val="0"/>
                      <w:marBottom w:val="0"/>
                      <w:divBdr>
                        <w:top w:val="none" w:sz="0" w:space="0" w:color="auto"/>
                        <w:left w:val="none" w:sz="0" w:space="0" w:color="auto"/>
                        <w:bottom w:val="none" w:sz="0" w:space="0" w:color="auto"/>
                        <w:right w:val="none" w:sz="0" w:space="0" w:color="auto"/>
                      </w:divBdr>
                      <w:divsChild>
                        <w:div w:id="14471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0302">
              <w:marLeft w:val="0"/>
              <w:marRight w:val="0"/>
              <w:marTop w:val="0"/>
              <w:marBottom w:val="0"/>
              <w:divBdr>
                <w:top w:val="none" w:sz="0" w:space="0" w:color="auto"/>
                <w:left w:val="none" w:sz="0" w:space="0" w:color="auto"/>
                <w:bottom w:val="none" w:sz="0" w:space="0" w:color="auto"/>
                <w:right w:val="none" w:sz="0" w:space="0" w:color="auto"/>
              </w:divBdr>
              <w:divsChild>
                <w:div w:id="25496419">
                  <w:marLeft w:val="0"/>
                  <w:marRight w:val="0"/>
                  <w:marTop w:val="0"/>
                  <w:marBottom w:val="0"/>
                  <w:divBdr>
                    <w:top w:val="none" w:sz="0" w:space="0" w:color="auto"/>
                    <w:left w:val="none" w:sz="0" w:space="0" w:color="auto"/>
                    <w:bottom w:val="none" w:sz="0" w:space="0" w:color="auto"/>
                    <w:right w:val="none" w:sz="0" w:space="0" w:color="auto"/>
                  </w:divBdr>
                  <w:divsChild>
                    <w:div w:id="772937370">
                      <w:marLeft w:val="0"/>
                      <w:marRight w:val="0"/>
                      <w:marTop w:val="0"/>
                      <w:marBottom w:val="0"/>
                      <w:divBdr>
                        <w:top w:val="none" w:sz="0" w:space="0" w:color="auto"/>
                        <w:left w:val="none" w:sz="0" w:space="0" w:color="auto"/>
                        <w:bottom w:val="none" w:sz="0" w:space="0" w:color="auto"/>
                        <w:right w:val="none" w:sz="0" w:space="0" w:color="auto"/>
                      </w:divBdr>
                    </w:div>
                    <w:div w:id="692925153">
                      <w:marLeft w:val="0"/>
                      <w:marRight w:val="0"/>
                      <w:marTop w:val="0"/>
                      <w:marBottom w:val="0"/>
                      <w:divBdr>
                        <w:top w:val="none" w:sz="0" w:space="0" w:color="auto"/>
                        <w:left w:val="none" w:sz="0" w:space="0" w:color="auto"/>
                        <w:bottom w:val="none" w:sz="0" w:space="0" w:color="auto"/>
                        <w:right w:val="none" w:sz="0" w:space="0" w:color="auto"/>
                      </w:divBdr>
                      <w:divsChild>
                        <w:div w:id="2904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8020">
              <w:marLeft w:val="0"/>
              <w:marRight w:val="0"/>
              <w:marTop w:val="0"/>
              <w:marBottom w:val="0"/>
              <w:divBdr>
                <w:top w:val="none" w:sz="0" w:space="0" w:color="auto"/>
                <w:left w:val="none" w:sz="0" w:space="0" w:color="auto"/>
                <w:bottom w:val="none" w:sz="0" w:space="0" w:color="auto"/>
                <w:right w:val="none" w:sz="0" w:space="0" w:color="auto"/>
              </w:divBdr>
              <w:divsChild>
                <w:div w:id="1931353638">
                  <w:marLeft w:val="0"/>
                  <w:marRight w:val="0"/>
                  <w:marTop w:val="0"/>
                  <w:marBottom w:val="0"/>
                  <w:divBdr>
                    <w:top w:val="none" w:sz="0" w:space="0" w:color="auto"/>
                    <w:left w:val="none" w:sz="0" w:space="0" w:color="auto"/>
                    <w:bottom w:val="none" w:sz="0" w:space="0" w:color="auto"/>
                    <w:right w:val="none" w:sz="0" w:space="0" w:color="auto"/>
                  </w:divBdr>
                  <w:divsChild>
                    <w:div w:id="1030952775">
                      <w:marLeft w:val="0"/>
                      <w:marRight w:val="0"/>
                      <w:marTop w:val="0"/>
                      <w:marBottom w:val="0"/>
                      <w:divBdr>
                        <w:top w:val="none" w:sz="0" w:space="0" w:color="auto"/>
                        <w:left w:val="none" w:sz="0" w:space="0" w:color="auto"/>
                        <w:bottom w:val="none" w:sz="0" w:space="0" w:color="auto"/>
                        <w:right w:val="none" w:sz="0" w:space="0" w:color="auto"/>
                      </w:divBdr>
                    </w:div>
                    <w:div w:id="1985117226">
                      <w:marLeft w:val="0"/>
                      <w:marRight w:val="0"/>
                      <w:marTop w:val="0"/>
                      <w:marBottom w:val="0"/>
                      <w:divBdr>
                        <w:top w:val="none" w:sz="0" w:space="0" w:color="auto"/>
                        <w:left w:val="none" w:sz="0" w:space="0" w:color="auto"/>
                        <w:bottom w:val="none" w:sz="0" w:space="0" w:color="auto"/>
                        <w:right w:val="none" w:sz="0" w:space="0" w:color="auto"/>
                      </w:divBdr>
                      <w:divsChild>
                        <w:div w:id="5350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90241">
      <w:bodyDiv w:val="1"/>
      <w:marLeft w:val="0"/>
      <w:marRight w:val="0"/>
      <w:marTop w:val="0"/>
      <w:marBottom w:val="0"/>
      <w:divBdr>
        <w:top w:val="none" w:sz="0" w:space="0" w:color="auto"/>
        <w:left w:val="none" w:sz="0" w:space="0" w:color="auto"/>
        <w:bottom w:val="none" w:sz="0" w:space="0" w:color="auto"/>
        <w:right w:val="none" w:sz="0" w:space="0" w:color="auto"/>
      </w:divBdr>
    </w:div>
    <w:div w:id="2046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etagne-environnement.fr/installations-methanisation-bretagne-evolution-datavisualisation" TargetMode="External"/><Relationship Id="rId18" Type="http://schemas.openxmlformats.org/officeDocument/2006/relationships/hyperlink" Target="http://www.optigede.ademe.fr/formations-gprox-biodechets" TargetMode="External"/><Relationship Id="rId26" Type="http://schemas.openxmlformats.org/officeDocument/2006/relationships/hyperlink" Target="https://www.ademe.fr/alternatives-brulage-dechets-verts" TargetMode="External"/><Relationship Id="rId3" Type="http://schemas.openxmlformats.org/officeDocument/2006/relationships/customXml" Target="../customXml/item3.xml"/><Relationship Id="rId21" Type="http://schemas.openxmlformats.org/officeDocument/2006/relationships/hyperlink" Target="mailto:axelle.degueurce@ademe.fr" TargetMode="External"/><Relationship Id="rId7" Type="http://schemas.openxmlformats.org/officeDocument/2006/relationships/settings" Target="settings.xml"/><Relationship Id="rId12" Type="http://schemas.openxmlformats.org/officeDocument/2006/relationships/hyperlink" Target="https://agirpourlatransition.ademe.fr/" TargetMode="External"/><Relationship Id="rId17" Type="http://schemas.openxmlformats.org/officeDocument/2006/relationships/hyperlink" Target="https://www.bretagne.bzh/aides/fiches/eau-materiel-desherbage-alternatif-chimique/" TargetMode="External"/><Relationship Id="rId25" Type="http://schemas.openxmlformats.org/officeDocument/2006/relationships/hyperlink" Target="https://www.ademe.fr/etude-technico-economique-collecte-separee-biodechets" TargetMode="External"/><Relationship Id="rId2" Type="http://schemas.openxmlformats.org/officeDocument/2006/relationships/customXml" Target="../customXml/item2.xml"/><Relationship Id="rId16" Type="http://schemas.openxmlformats.org/officeDocument/2006/relationships/hyperlink" Target="https://www.optigede.ademe.fr/alimentation-durable-en-savoir-plus" TargetMode="External"/><Relationship Id="rId20" Type="http://schemas.openxmlformats.org/officeDocument/2006/relationships/hyperlink" Target="https://agirpourlatransition.ademe.fr/entreprises/dispositif-aide/subvention-a-etude-prealable-tri-a-source-biodechets-menages" TargetMode="External"/><Relationship Id="rId29" Type="http://schemas.openxmlformats.org/officeDocument/2006/relationships/hyperlink" Target="http://www.compostplus.org/wp-content/uploads/2018/07/Guide-Compostplus-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deme.fr/comment-reussir-mise-oeuvre-tri-a-source-biodeche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girpourlatransition.ademe.fr/" TargetMode="External"/><Relationship Id="rId23" Type="http://schemas.openxmlformats.org/officeDocument/2006/relationships/hyperlink" Target="https://www.ademe.fr/agrement-sanitaire-traitement-sous-produits-animaux-carnes" TargetMode="External"/><Relationship Id="rId28" Type="http://schemas.openxmlformats.org/officeDocument/2006/relationships/hyperlink" Target="https://www.ademe.fr/evaluation-demarches-gestion-proximite-biodechets-rapports-devaluation-preconisations" TargetMode="External"/><Relationship Id="rId10" Type="http://schemas.openxmlformats.org/officeDocument/2006/relationships/endnotes" Target="endnotes.xml"/><Relationship Id="rId19" Type="http://schemas.openxmlformats.org/officeDocument/2006/relationships/hyperlink" Target="https://agirpourlatransition.ademe.fr/entreprises/dispositif-aide/20210426/biodechets2021-9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etagne-environnement.fr/les-chiffres-cles-2016-des-dechets-en-bretagne-les-donnees-analyses-de-l-observatoire-de-l-environnement-en-bretagne" TargetMode="External"/><Relationship Id="rId22" Type="http://schemas.openxmlformats.org/officeDocument/2006/relationships/hyperlink" Target="mailto:cecile.mallet@ademe.fr" TargetMode="External"/><Relationship Id="rId27" Type="http://schemas.openxmlformats.org/officeDocument/2006/relationships/hyperlink" Target="https://www.ademe.fr/enquete-gestion-domestique-dechets-organiques"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2887-D334-47A5-A39A-20C0AC93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C47B0A-5464-4F35-9E12-A1F56B1C97AE}">
  <ds:schemaRefs>
    <ds:schemaRef ds:uri="http://schemas.microsoft.com/sharepoint/v3/contenttype/forms"/>
  </ds:schemaRefs>
</ds:datastoreItem>
</file>

<file path=customXml/itemProps3.xml><?xml version="1.0" encoding="utf-8"?>
<ds:datastoreItem xmlns:ds="http://schemas.openxmlformats.org/officeDocument/2006/customXml" ds:itemID="{B479964E-5505-45E8-B786-8C63E48EE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5C27F-556D-4778-AEE7-561EBC5B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6715</Words>
  <Characters>36933</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 Chloé</dc:creator>
  <cp:lastModifiedBy>ROUSSEAU Pierre-Marie</cp:lastModifiedBy>
  <cp:revision>13</cp:revision>
  <cp:lastPrinted>2021-02-05T17:04:00Z</cp:lastPrinted>
  <dcterms:created xsi:type="dcterms:W3CDTF">2021-05-20T11:48:00Z</dcterms:created>
  <dcterms:modified xsi:type="dcterms:W3CDTF">2022-03-03T12:57:00Z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y fmtid="{D5CDD505-2E9C-101B-9397-08002B2CF9AE}" pid="3" name="IsMyDocuments">
    <vt:bool>true</vt:bool>
  </property>
</Properties>
</file>